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916D57" w:rsidRDefault="007B036F" w:rsidP="007B036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916D57">
        <w:rPr>
          <w:rFonts w:eastAsia="Times New Roman"/>
          <w:b/>
          <w:sz w:val="44"/>
          <w:szCs w:val="32"/>
          <w:lang w:val="sr-Cyrl-RS"/>
        </w:rPr>
        <w:t>132</w:t>
      </w:r>
      <w:r w:rsidR="002F7C2A">
        <w:rPr>
          <w:rFonts w:eastAsia="Times New Roman"/>
          <w:b/>
          <w:sz w:val="44"/>
          <w:szCs w:val="32"/>
          <w:lang w:val="sr-Cyrl-RS"/>
        </w:rPr>
        <w:t>.</w:t>
      </w:r>
      <w:r w:rsidR="00916D57">
        <w:rPr>
          <w:rFonts w:eastAsia="Times New Roman"/>
          <w:b/>
          <w:sz w:val="44"/>
          <w:szCs w:val="32"/>
          <w:lang w:val="sr-Cyrl-RS"/>
        </w:rPr>
        <w:t>ВАНРЕДНИ ПРЕГЛЕД СИГУРНОСНИХ ВЕНТИЛА НА КАЗАНИМА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sidR="00916D57">
        <w:rPr>
          <w:rFonts w:eastAsia="Times New Roman"/>
          <w:b/>
          <w:lang w:val="sr-Cyrl-CS" w:eastAsia="sr-Latn-CS"/>
        </w:rPr>
        <w:t>132</w:t>
      </w:r>
      <w:r w:rsidRPr="009209F0">
        <w:rPr>
          <w:rFonts w:eastAsia="Times New Roman"/>
          <w:b/>
          <w:lang w:val="sr-Cyrl-CS" w:eastAsia="sr-Latn-CS"/>
        </w:rPr>
        <w:t xml:space="preserve">. </w:t>
      </w:r>
      <w:r w:rsidR="00916D57">
        <w:rPr>
          <w:rFonts w:eastAsia="Times New Roman" w:cs="Arial"/>
          <w:b/>
          <w:lang w:val="sr-Cyrl-CS" w:eastAsia="sr-Cyrl-CS"/>
        </w:rPr>
        <w:t>ВАНРЕДНИ ПРЕГЛЕД СИГУРНОСНИХ ВЕНТИЛА НА КАЗАНИМА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916D57" w:rsidRDefault="00916D57"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3827"/>
        <w:gridCol w:w="1560"/>
        <w:gridCol w:w="1701"/>
        <w:gridCol w:w="1842"/>
      </w:tblGrid>
      <w:tr w:rsidR="002F7C2A" w:rsidTr="002F7C2A">
        <w:tc>
          <w:tcPr>
            <w:tcW w:w="817" w:type="dxa"/>
          </w:tcPr>
          <w:p w:rsidR="002F7C2A" w:rsidRPr="007B036F" w:rsidRDefault="002F7C2A" w:rsidP="007B036F">
            <w:pPr>
              <w:rPr>
                <w:b/>
                <w:lang w:val="sr-Latn-CS"/>
              </w:rPr>
            </w:pPr>
            <w:r w:rsidRPr="007B036F">
              <w:rPr>
                <w:b/>
                <w:lang w:val="sr-Latn-CS"/>
              </w:rPr>
              <w:t>Рб.</w:t>
            </w:r>
          </w:p>
        </w:tc>
        <w:tc>
          <w:tcPr>
            <w:tcW w:w="3827" w:type="dxa"/>
          </w:tcPr>
          <w:p w:rsidR="002F7C2A" w:rsidRPr="007B036F" w:rsidRDefault="002F7C2A" w:rsidP="007B036F">
            <w:pPr>
              <w:jc w:val="center"/>
              <w:rPr>
                <w:b/>
                <w:lang w:val="sr-Latn-CS"/>
              </w:rPr>
            </w:pPr>
            <w:r w:rsidRPr="007B036F">
              <w:rPr>
                <w:b/>
                <w:lang w:val="sr-Latn-CS"/>
              </w:rPr>
              <w:t xml:space="preserve">Oпис рoбe и делова </w:t>
            </w:r>
          </w:p>
        </w:tc>
        <w:tc>
          <w:tcPr>
            <w:tcW w:w="1560" w:type="dxa"/>
          </w:tcPr>
          <w:p w:rsidR="002F7C2A" w:rsidRPr="002F7C2A" w:rsidRDefault="002F7C2A" w:rsidP="007B036F">
            <w:pPr>
              <w:jc w:val="center"/>
              <w:rPr>
                <w:b/>
                <w:lang w:val="sr-Cyrl-RS"/>
              </w:rPr>
            </w:pPr>
            <w:r>
              <w:rPr>
                <w:b/>
                <w:lang w:val="sr-Cyrl-RS"/>
              </w:rPr>
              <w:t>Количина</w:t>
            </w:r>
          </w:p>
        </w:tc>
        <w:tc>
          <w:tcPr>
            <w:tcW w:w="1701" w:type="dxa"/>
          </w:tcPr>
          <w:p w:rsidR="002F7C2A" w:rsidRPr="007B036F" w:rsidRDefault="002F7C2A" w:rsidP="007B036F">
            <w:pPr>
              <w:jc w:val="center"/>
              <w:rPr>
                <w:b/>
                <w:lang w:val="sr-Latn-CS"/>
              </w:rPr>
            </w:pPr>
            <w:r w:rsidRPr="007B036F">
              <w:rPr>
                <w:b/>
                <w:lang w:val="sr-Latn-CS"/>
              </w:rPr>
              <w:t xml:space="preserve"> Јед.цена бeз ПДВ</w:t>
            </w:r>
          </w:p>
        </w:tc>
        <w:tc>
          <w:tcPr>
            <w:tcW w:w="1842" w:type="dxa"/>
          </w:tcPr>
          <w:p w:rsidR="002F7C2A" w:rsidRPr="007B036F" w:rsidRDefault="002F7C2A" w:rsidP="007B036F">
            <w:pPr>
              <w:jc w:val="center"/>
              <w:rPr>
                <w:b/>
                <w:lang w:val="sr-Latn-CS"/>
              </w:rPr>
            </w:pPr>
            <w:r w:rsidRPr="007B036F">
              <w:rPr>
                <w:b/>
                <w:lang w:val="sr-Latn-CS"/>
              </w:rPr>
              <w:t>Укупнo без пдв</w:t>
            </w:r>
          </w:p>
        </w:tc>
      </w:tr>
      <w:tr w:rsidR="002F7C2A" w:rsidTr="002F7C2A">
        <w:tc>
          <w:tcPr>
            <w:tcW w:w="817" w:type="dxa"/>
          </w:tcPr>
          <w:p w:rsidR="002F7C2A" w:rsidRPr="007B036F" w:rsidRDefault="002F7C2A" w:rsidP="007B036F">
            <w:pPr>
              <w:rPr>
                <w:lang w:val="sr-Latn-CS"/>
              </w:rPr>
            </w:pPr>
            <w:r w:rsidRPr="007B036F">
              <w:rPr>
                <w:lang w:val="sr-Latn-CS"/>
              </w:rPr>
              <w:t xml:space="preserve">1. </w:t>
            </w:r>
          </w:p>
        </w:tc>
        <w:tc>
          <w:tcPr>
            <w:tcW w:w="3827" w:type="dxa"/>
          </w:tcPr>
          <w:p w:rsidR="002F7C2A" w:rsidRDefault="00916D57" w:rsidP="002F7C2A">
            <w:pPr>
              <w:jc w:val="both"/>
              <w:rPr>
                <w:lang w:val="sr-Cyrl-BA"/>
              </w:rPr>
            </w:pPr>
            <w:r>
              <w:rPr>
                <w:lang w:val="sr-Cyrl-BA"/>
              </w:rPr>
              <w:t xml:space="preserve">Одређивање притиска почетка отварања и притиска затварања вентила сигурности </w:t>
            </w:r>
            <w:r>
              <w:rPr>
                <w:lang w:val="sr-Latn-RS"/>
              </w:rPr>
              <w:t xml:space="preserve">DN3/4’’(DN20) </w:t>
            </w:r>
            <w:r>
              <w:rPr>
                <w:lang w:val="sr-Cyrl-RS"/>
              </w:rPr>
              <w:t>према</w:t>
            </w:r>
            <w:r w:rsidR="002F7C2A">
              <w:rPr>
                <w:lang w:val="sr-Cyrl-BA"/>
              </w:rPr>
              <w:t>:</w:t>
            </w:r>
          </w:p>
          <w:p w:rsidR="002F7C2A" w:rsidRPr="002F7C2A" w:rsidRDefault="002F7C2A" w:rsidP="002F7C2A">
            <w:pPr>
              <w:jc w:val="both"/>
              <w:rPr>
                <w:lang w:val="sr-Cyrl-RS"/>
              </w:rPr>
            </w:pPr>
            <w:r>
              <w:rPr>
                <w:lang w:val="sr-Cyrl-BA"/>
              </w:rPr>
              <w:t xml:space="preserve">стандарду </w:t>
            </w:r>
            <w:r>
              <w:rPr>
                <w:lang w:val="sr-Latn-RS"/>
              </w:rPr>
              <w:t xml:space="preserve">SRPS EN ISO </w:t>
            </w:r>
            <w:r w:rsidR="00916D57">
              <w:rPr>
                <w:lang w:val="sr-Cyrl-RS"/>
              </w:rPr>
              <w:t xml:space="preserve">4126-1:2014, т.7.2 и </w:t>
            </w:r>
            <w:r w:rsidR="00916D57">
              <w:rPr>
                <w:lang w:val="sr-Latn-RS"/>
              </w:rPr>
              <w:t>SRPS EN ISO</w:t>
            </w:r>
            <w:r w:rsidR="00916D57">
              <w:rPr>
                <w:lang w:val="sr-Cyrl-RS"/>
              </w:rPr>
              <w:t xml:space="preserve">4126-1/А1:2017, </w:t>
            </w:r>
            <w:r w:rsidR="00916D57">
              <w:rPr>
                <w:lang w:val="sr-Latn-RS"/>
              </w:rPr>
              <w:t>SRPS EN ISO</w:t>
            </w:r>
            <w:r w:rsidR="00916D57">
              <w:rPr>
                <w:lang w:val="sr-Cyrl-RS"/>
              </w:rPr>
              <w:t xml:space="preserve"> 4126-1/А2:2019,Т.7.2</w:t>
            </w:r>
          </w:p>
        </w:tc>
        <w:tc>
          <w:tcPr>
            <w:tcW w:w="1560" w:type="dxa"/>
          </w:tcPr>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Pr="00FB1865" w:rsidRDefault="00916D57" w:rsidP="007B036F">
            <w:pPr>
              <w:jc w:val="center"/>
              <w:rPr>
                <w:lang w:val="sr-Cyrl-RS"/>
              </w:rPr>
            </w:pPr>
            <w:r>
              <w:rPr>
                <w:lang w:val="sr-Cyrl-RS"/>
              </w:rPr>
              <w:t>8</w:t>
            </w:r>
            <w:r w:rsidR="002F7C2A">
              <w:rPr>
                <w:lang w:val="sr-Cyrl-RS"/>
              </w:rPr>
              <w:t xml:space="preserve"> ком</w:t>
            </w:r>
          </w:p>
        </w:tc>
        <w:tc>
          <w:tcPr>
            <w:tcW w:w="1701" w:type="dxa"/>
          </w:tcPr>
          <w:p w:rsidR="002F7C2A" w:rsidRPr="007B036F" w:rsidRDefault="002F7C2A" w:rsidP="007B036F">
            <w:pPr>
              <w:jc w:val="center"/>
              <w:rPr>
                <w:lang w:val="sr-Latn-CS"/>
              </w:rPr>
            </w:pPr>
          </w:p>
        </w:tc>
        <w:tc>
          <w:tcPr>
            <w:tcW w:w="1842" w:type="dxa"/>
          </w:tcPr>
          <w:p w:rsidR="002F7C2A" w:rsidRPr="007B036F" w:rsidRDefault="002F7C2A" w:rsidP="007B036F">
            <w:pPr>
              <w:jc w:val="center"/>
              <w:rPr>
                <w:lang w:val="sr-Latn-CS"/>
              </w:rPr>
            </w:pPr>
          </w:p>
        </w:tc>
      </w:tr>
      <w:tr w:rsidR="002F7C2A" w:rsidTr="00D84D64">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УКУПНА ЦЕНА БЕЗ ПДВ-А</w:t>
            </w:r>
          </w:p>
        </w:tc>
        <w:tc>
          <w:tcPr>
            <w:tcW w:w="3543" w:type="dxa"/>
            <w:gridSpan w:val="2"/>
          </w:tcPr>
          <w:p w:rsidR="002F7C2A" w:rsidRPr="007B036F" w:rsidRDefault="002F7C2A" w:rsidP="007B036F">
            <w:pPr>
              <w:jc w:val="center"/>
              <w:rPr>
                <w:lang w:val="sr-Latn-CS"/>
              </w:rPr>
            </w:pPr>
          </w:p>
        </w:tc>
      </w:tr>
      <w:tr w:rsidR="002F7C2A" w:rsidTr="00C01110">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ИЗНОС ПДВ-А</w:t>
            </w:r>
          </w:p>
        </w:tc>
        <w:tc>
          <w:tcPr>
            <w:tcW w:w="3543" w:type="dxa"/>
            <w:gridSpan w:val="2"/>
          </w:tcPr>
          <w:p w:rsidR="002F7C2A" w:rsidRPr="007B036F" w:rsidRDefault="002F7C2A" w:rsidP="007B036F">
            <w:pPr>
              <w:jc w:val="center"/>
              <w:rPr>
                <w:lang w:val="sr-Latn-CS"/>
              </w:rPr>
            </w:pPr>
          </w:p>
        </w:tc>
      </w:tr>
      <w:tr w:rsidR="002F7C2A" w:rsidTr="007359B0">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УКУПНА ЦЕНА СА ПДВ-ОМ</w:t>
            </w:r>
          </w:p>
        </w:tc>
        <w:tc>
          <w:tcPr>
            <w:tcW w:w="3543" w:type="dxa"/>
            <w:gridSpan w:val="2"/>
          </w:tcPr>
          <w:p w:rsidR="002F7C2A" w:rsidRPr="007B036F" w:rsidRDefault="002F7C2A"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916D57" w:rsidRDefault="00916D57"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916D57" w:rsidRDefault="00916D57"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DD7BA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916D57">
        <w:rPr>
          <w:rFonts w:eastAsia="Times New Roman"/>
          <w:b/>
          <w:lang w:val="sr-Cyrl-CS" w:eastAsia="sr-Latn-CS"/>
        </w:rPr>
        <w:t>132</w:t>
      </w:r>
      <w:r w:rsidRPr="009209F0">
        <w:rPr>
          <w:rFonts w:eastAsia="Times New Roman"/>
          <w:b/>
          <w:lang w:val="sr-Cyrl-CS" w:eastAsia="sr-Latn-CS"/>
        </w:rPr>
        <w:t xml:space="preserve">. </w:t>
      </w:r>
      <w:r w:rsidR="00916D57">
        <w:rPr>
          <w:rFonts w:eastAsia="Times New Roman" w:cs="Arial"/>
          <w:b/>
          <w:lang w:val="sr-Cyrl-CS" w:eastAsia="sr-Cyrl-CS"/>
        </w:rPr>
        <w:t>Ванредни преглед сигурносних вентила на казанима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16D57">
        <w:rPr>
          <w:rFonts w:eastAsia="Times New Roman"/>
          <w:b/>
          <w:lang w:val="sr-Cyrl-CS" w:eastAsia="sr-Latn-CS"/>
        </w:rPr>
        <w:t>132</w:t>
      </w:r>
      <w:r w:rsidR="00916D57" w:rsidRPr="009209F0">
        <w:rPr>
          <w:rFonts w:eastAsia="Times New Roman"/>
          <w:b/>
          <w:lang w:val="sr-Cyrl-CS" w:eastAsia="sr-Latn-CS"/>
        </w:rPr>
        <w:t xml:space="preserve">. </w:t>
      </w:r>
      <w:r w:rsidR="00916D57">
        <w:rPr>
          <w:rFonts w:eastAsia="Times New Roman" w:cs="Arial"/>
          <w:b/>
          <w:lang w:val="sr-Cyrl-CS" w:eastAsia="sr-Cyrl-CS"/>
        </w:rPr>
        <w:t>Ванредни преглед сигурносних вентила на казанима</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D7BAD">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2F7C2A">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2F7C2A"/>
    <w:rsid w:val="006B2ADB"/>
    <w:rsid w:val="007B036F"/>
    <w:rsid w:val="007B780A"/>
    <w:rsid w:val="00916D57"/>
    <w:rsid w:val="009F4735"/>
    <w:rsid w:val="00BF1DB3"/>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2022-06-16T10:12:00Z</dcterms:created>
  <dcterms:modified xsi:type="dcterms:W3CDTF">2022-11-30T11:02:00Z</dcterms:modified>
</cp:coreProperties>
</file>