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E47C91">
        <w:rPr>
          <w:rFonts w:eastAsia="Times New Roman"/>
          <w:b/>
          <w:sz w:val="44"/>
          <w:szCs w:val="32"/>
          <w:lang w:val="sr-Cyrl-RS"/>
        </w:rPr>
        <w:t>135</w:t>
      </w:r>
      <w:r>
        <w:rPr>
          <w:rFonts w:eastAsia="Times New Roman"/>
          <w:b/>
          <w:sz w:val="44"/>
          <w:szCs w:val="32"/>
          <w:lang w:val="sr-Cyrl-RS"/>
        </w:rPr>
        <w:t xml:space="preserve">. </w:t>
      </w:r>
      <w:r w:rsidR="00B73DE2">
        <w:rPr>
          <w:rFonts w:eastAsia="Times New Roman"/>
          <w:b/>
          <w:sz w:val="44"/>
          <w:szCs w:val="32"/>
          <w:lang w:val="sr-Cyrl-RS"/>
        </w:rPr>
        <w:t>ОДРЖАВАЊА ГАСН</w:t>
      </w:r>
      <w:r w:rsidR="00E47C91">
        <w:rPr>
          <w:rFonts w:eastAsia="Times New Roman"/>
          <w:b/>
          <w:sz w:val="44"/>
          <w:szCs w:val="32"/>
          <w:lang w:val="sr-Cyrl-RS"/>
        </w:rPr>
        <w:t>ИХ</w:t>
      </w:r>
      <w:r w:rsidR="00B73DE2">
        <w:rPr>
          <w:rFonts w:eastAsia="Times New Roman"/>
          <w:b/>
          <w:sz w:val="44"/>
          <w:szCs w:val="32"/>
          <w:lang w:val="sr-Cyrl-RS"/>
        </w:rPr>
        <w:t xml:space="preserve"> ИНСТАЛАЦИЈ</w:t>
      </w:r>
      <w:r w:rsidR="00E47C91">
        <w:rPr>
          <w:rFonts w:eastAsia="Times New Roman"/>
          <w:b/>
          <w:sz w:val="44"/>
          <w:szCs w:val="32"/>
          <w:lang w:val="sr-Cyrl-RS"/>
        </w:rPr>
        <w:t>А</w:t>
      </w:r>
      <w:r w:rsidR="00B73DE2">
        <w:rPr>
          <w:rFonts w:eastAsia="Times New Roman"/>
          <w:b/>
          <w:sz w:val="44"/>
          <w:szCs w:val="32"/>
          <w:lang w:val="sr-Cyrl-RS"/>
        </w:rPr>
        <w:t xml:space="preserve"> </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C93FE1" w:rsidRDefault="00C93FE1" w:rsidP="007B036F">
      <w:pPr>
        <w:tabs>
          <w:tab w:val="left" w:pos="3645"/>
        </w:tabs>
        <w:suppressAutoHyphens/>
        <w:ind w:left="-567"/>
        <w:jc w:val="center"/>
        <w:rPr>
          <w:rFonts w:eastAsia="Times New Roman"/>
          <w:b/>
          <w:lang w:val="sr-Cyrl-RS"/>
        </w:rPr>
      </w:pPr>
    </w:p>
    <w:p w:rsidR="00E47C91" w:rsidRDefault="00E47C91" w:rsidP="007B036F">
      <w:pPr>
        <w:tabs>
          <w:tab w:val="left" w:pos="3645"/>
        </w:tabs>
        <w:suppressAutoHyphens/>
        <w:ind w:left="-567"/>
        <w:jc w:val="center"/>
        <w:rPr>
          <w:rFonts w:eastAsia="Times New Roman"/>
          <w:b/>
          <w:lang w:val="sr-Cyrl-RS"/>
        </w:rPr>
      </w:pPr>
    </w:p>
    <w:p w:rsidR="00E47C91" w:rsidRDefault="00E47C91"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B61695">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E47C91">
        <w:rPr>
          <w:rFonts w:eastAsia="Times New Roman"/>
          <w:b/>
          <w:lang w:val="sr-Cyrl-CS" w:eastAsia="sr-Latn-CS"/>
        </w:rPr>
        <w:t>135</w:t>
      </w:r>
      <w:r w:rsidRPr="009209F0">
        <w:rPr>
          <w:rFonts w:eastAsia="Times New Roman"/>
          <w:b/>
          <w:lang w:val="sr-Cyrl-CS" w:eastAsia="sr-Latn-CS"/>
        </w:rPr>
        <w:t xml:space="preserve">. </w:t>
      </w:r>
      <w:r w:rsidR="00B73DE2">
        <w:rPr>
          <w:rFonts w:eastAsia="Times New Roman"/>
          <w:b/>
          <w:lang w:val="sr-Cyrl-CS" w:eastAsia="sr-Latn-CS"/>
        </w:rPr>
        <w:t>УСЛУГЕ ОДРЖАВАЊА ГАСН</w:t>
      </w:r>
      <w:r w:rsidR="00E47C91">
        <w:rPr>
          <w:rFonts w:eastAsia="Times New Roman"/>
          <w:b/>
          <w:lang w:val="sr-Cyrl-CS" w:eastAsia="sr-Latn-CS"/>
        </w:rPr>
        <w:t>ИХ</w:t>
      </w:r>
      <w:r w:rsidR="00B73DE2">
        <w:rPr>
          <w:rFonts w:eastAsia="Times New Roman"/>
          <w:b/>
          <w:lang w:val="sr-Cyrl-CS" w:eastAsia="sr-Latn-CS"/>
        </w:rPr>
        <w:t xml:space="preserve"> ИНТАЛАЦИЈ</w:t>
      </w:r>
      <w:r w:rsidR="00E47C91">
        <w:rPr>
          <w:rFonts w:eastAsia="Times New Roman"/>
          <w:b/>
          <w:lang w:val="sr-Cyrl-CS" w:eastAsia="sr-Latn-CS"/>
        </w:rPr>
        <w:t>А</w:t>
      </w:r>
      <w:r w:rsidR="00B73DE2">
        <w:rPr>
          <w:rFonts w:eastAsia="Times New Roman"/>
          <w:b/>
          <w:lang w:val="sr-Cyrl-CS" w:eastAsia="sr-Latn-CS"/>
        </w:rPr>
        <w:t xml:space="preserve">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670"/>
      </w:tblGrid>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1063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827"/>
        <w:gridCol w:w="1276"/>
        <w:gridCol w:w="1276"/>
        <w:gridCol w:w="1701"/>
        <w:gridCol w:w="1701"/>
      </w:tblGrid>
      <w:tr w:rsidR="00BA4578" w:rsidRPr="00BA4578" w:rsidTr="00E47C91">
        <w:trPr>
          <w:trHeight w:val="87"/>
        </w:trPr>
        <w:tc>
          <w:tcPr>
            <w:tcW w:w="851"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Default="00BA4578" w:rsidP="00BA4578">
            <w:pPr>
              <w:widowControl w:val="0"/>
              <w:autoSpaceDE w:val="0"/>
              <w:autoSpaceDN w:val="0"/>
              <w:ind w:left="201" w:right="78" w:hanging="92"/>
              <w:rPr>
                <w:rFonts w:eastAsia="Times New Roman"/>
                <w:b/>
                <w:sz w:val="22"/>
                <w:szCs w:val="22"/>
                <w:lang w:val="sr-Cyrl-RS"/>
              </w:rPr>
            </w:pPr>
            <w:r w:rsidRPr="00BA4578">
              <w:rPr>
                <w:rFonts w:eastAsia="Times New Roman"/>
                <w:b/>
                <w:sz w:val="22"/>
                <w:szCs w:val="22"/>
              </w:rPr>
              <w:t>Редни</w:t>
            </w:r>
          </w:p>
          <w:p w:rsidR="00BA4578" w:rsidRPr="00BA4578" w:rsidRDefault="00BA4578"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број</w:t>
            </w:r>
          </w:p>
        </w:tc>
        <w:tc>
          <w:tcPr>
            <w:tcW w:w="3827" w:type="dxa"/>
            <w:vMerge w:val="restart"/>
          </w:tcPr>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BA4578" w:rsidRPr="00C93FE1" w:rsidRDefault="00C93FE1" w:rsidP="00BA4578">
            <w:pPr>
              <w:widowControl w:val="0"/>
              <w:autoSpaceDE w:val="0"/>
              <w:autoSpaceDN w:val="0"/>
              <w:spacing w:line="249" w:lineRule="exact"/>
              <w:ind w:left="370" w:right="358"/>
              <w:jc w:val="center"/>
              <w:rPr>
                <w:rFonts w:eastAsia="Times New Roman"/>
                <w:sz w:val="22"/>
                <w:szCs w:val="22"/>
                <w:lang w:val="sr-Cyrl-RS"/>
              </w:rPr>
            </w:pPr>
            <w:r>
              <w:rPr>
                <w:rFonts w:eastAsia="Times New Roman"/>
                <w:b/>
                <w:sz w:val="22"/>
                <w:szCs w:val="22"/>
                <w:lang w:val="sr-Cyrl-RS"/>
              </w:rPr>
              <w:t>Опис услуга</w:t>
            </w:r>
          </w:p>
          <w:p w:rsidR="00BA4578" w:rsidRPr="00BA4578" w:rsidRDefault="00BA4578" w:rsidP="00BA4578">
            <w:pPr>
              <w:widowControl w:val="0"/>
              <w:autoSpaceDE w:val="0"/>
              <w:autoSpaceDN w:val="0"/>
              <w:spacing w:line="252" w:lineRule="exact"/>
              <w:ind w:left="374" w:right="358"/>
              <w:jc w:val="center"/>
              <w:rPr>
                <w:rFonts w:eastAsia="Times New Roman"/>
                <w:sz w:val="22"/>
                <w:szCs w:val="22"/>
              </w:rPr>
            </w:pPr>
          </w:p>
        </w:tc>
        <w:tc>
          <w:tcPr>
            <w:tcW w:w="1276"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Pr="00BA4578" w:rsidRDefault="00BA4578" w:rsidP="00BA4578">
            <w:pPr>
              <w:widowControl w:val="0"/>
              <w:autoSpaceDE w:val="0"/>
              <w:autoSpaceDN w:val="0"/>
              <w:ind w:left="397" w:right="138" w:hanging="236"/>
              <w:rPr>
                <w:rFonts w:eastAsia="Times New Roman"/>
                <w:b/>
                <w:sz w:val="22"/>
                <w:szCs w:val="22"/>
              </w:rPr>
            </w:pPr>
            <w:r w:rsidRPr="00BA4578">
              <w:rPr>
                <w:rFonts w:eastAsia="Times New Roman"/>
                <w:b/>
                <w:sz w:val="22"/>
                <w:szCs w:val="22"/>
              </w:rPr>
              <w:t>Јединица</w:t>
            </w:r>
            <w:r w:rsidRPr="00BA4578">
              <w:rPr>
                <w:rFonts w:eastAsia="Times New Roman"/>
                <w:b/>
                <w:spacing w:val="-52"/>
                <w:sz w:val="22"/>
                <w:szCs w:val="22"/>
              </w:rPr>
              <w:t xml:space="preserve"> </w:t>
            </w:r>
            <w:r w:rsidRPr="00BA4578">
              <w:rPr>
                <w:rFonts w:eastAsia="Times New Roman"/>
                <w:b/>
                <w:sz w:val="22"/>
                <w:szCs w:val="22"/>
              </w:rPr>
              <w:t>мере</w:t>
            </w:r>
          </w:p>
        </w:tc>
        <w:tc>
          <w:tcPr>
            <w:tcW w:w="1276" w:type="dxa"/>
            <w:vMerge w:val="restart"/>
          </w:tcPr>
          <w:p w:rsidR="00BA4578" w:rsidRPr="00BA4578" w:rsidRDefault="00BA4578" w:rsidP="00BA4578">
            <w:pPr>
              <w:widowControl w:val="0"/>
              <w:autoSpaceDE w:val="0"/>
              <w:autoSpaceDN w:val="0"/>
              <w:jc w:val="center"/>
              <w:rPr>
                <w:rFonts w:eastAsia="Times New Roman"/>
                <w:b/>
                <w:szCs w:val="22"/>
              </w:rPr>
            </w:pPr>
          </w:p>
          <w:p w:rsidR="00C93FE1" w:rsidRDefault="00C93FE1" w:rsidP="00BA4578">
            <w:pPr>
              <w:widowControl w:val="0"/>
              <w:autoSpaceDE w:val="0"/>
              <w:autoSpaceDN w:val="0"/>
              <w:ind w:left="328" w:right="79" w:hanging="219"/>
              <w:jc w:val="center"/>
              <w:rPr>
                <w:rFonts w:eastAsia="Times New Roman"/>
                <w:b/>
                <w:sz w:val="22"/>
                <w:szCs w:val="22"/>
                <w:lang w:val="sr-Cyrl-RS"/>
              </w:rPr>
            </w:pPr>
          </w:p>
          <w:p w:rsidR="00BA4578" w:rsidRPr="00BA4578" w:rsidRDefault="00BA4578" w:rsidP="00BA4578">
            <w:pPr>
              <w:widowControl w:val="0"/>
              <w:autoSpaceDE w:val="0"/>
              <w:autoSpaceDN w:val="0"/>
              <w:ind w:left="328" w:right="79" w:hanging="219"/>
              <w:jc w:val="center"/>
              <w:rPr>
                <w:rFonts w:eastAsia="Times New Roman"/>
                <w:b/>
                <w:sz w:val="22"/>
                <w:szCs w:val="22"/>
              </w:rPr>
            </w:pPr>
            <w:r w:rsidRPr="00BA4578">
              <w:rPr>
                <w:rFonts w:eastAsia="Times New Roman"/>
                <w:b/>
                <w:sz w:val="22"/>
                <w:szCs w:val="22"/>
              </w:rPr>
              <w:t>Kоличина</w:t>
            </w:r>
          </w:p>
        </w:tc>
        <w:tc>
          <w:tcPr>
            <w:tcW w:w="3402" w:type="dxa"/>
            <w:gridSpan w:val="2"/>
          </w:tcPr>
          <w:p w:rsidR="00BA4578" w:rsidRPr="00BA4578" w:rsidRDefault="00BA4578" w:rsidP="00BA4578">
            <w:pPr>
              <w:widowControl w:val="0"/>
              <w:autoSpaceDE w:val="0"/>
              <w:autoSpaceDN w:val="0"/>
              <w:spacing w:before="27"/>
              <w:ind w:left="1422"/>
              <w:rPr>
                <w:rFonts w:eastAsia="Times New Roman"/>
                <w:b/>
                <w:sz w:val="22"/>
                <w:szCs w:val="22"/>
                <w:lang w:val="sr-Cyrl-RS"/>
              </w:rPr>
            </w:pPr>
          </w:p>
        </w:tc>
      </w:tr>
      <w:tr w:rsidR="00B61695" w:rsidRPr="00BA4578" w:rsidTr="00B73DE2">
        <w:trPr>
          <w:trHeight w:val="1449"/>
        </w:trPr>
        <w:tc>
          <w:tcPr>
            <w:tcW w:w="851"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3827"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1276"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1276" w:type="dxa"/>
            <w:vMerge/>
            <w:tcBorders>
              <w:top w:val="nil"/>
            </w:tcBorders>
          </w:tcPr>
          <w:p w:rsidR="00B61695" w:rsidRPr="00BA4578" w:rsidRDefault="00B61695" w:rsidP="00BA4578">
            <w:pPr>
              <w:widowControl w:val="0"/>
              <w:autoSpaceDE w:val="0"/>
              <w:autoSpaceDN w:val="0"/>
              <w:jc w:val="center"/>
              <w:rPr>
                <w:rFonts w:eastAsia="Times New Roman"/>
                <w:sz w:val="2"/>
                <w:szCs w:val="2"/>
              </w:rPr>
            </w:pPr>
          </w:p>
        </w:tc>
        <w:tc>
          <w:tcPr>
            <w:tcW w:w="1701" w:type="dxa"/>
          </w:tcPr>
          <w:p w:rsidR="00B61695" w:rsidRPr="00BA4578" w:rsidRDefault="00B61695" w:rsidP="00BA4578">
            <w:pPr>
              <w:widowControl w:val="0"/>
              <w:autoSpaceDE w:val="0"/>
              <w:autoSpaceDN w:val="0"/>
              <w:spacing w:before="10"/>
              <w:rPr>
                <w:rFonts w:eastAsia="Times New Roman"/>
                <w:b/>
                <w:sz w:val="29"/>
                <w:szCs w:val="22"/>
              </w:rPr>
            </w:pPr>
          </w:p>
          <w:p w:rsidR="00B61695" w:rsidRPr="00BA4578" w:rsidRDefault="00B61695" w:rsidP="00BA4578">
            <w:pPr>
              <w:widowControl w:val="0"/>
              <w:autoSpaceDE w:val="0"/>
              <w:autoSpaceDN w:val="0"/>
              <w:spacing w:line="252" w:lineRule="exact"/>
              <w:ind w:left="109" w:right="102"/>
              <w:jc w:val="center"/>
              <w:rPr>
                <w:rFonts w:eastAsia="Times New Roman"/>
                <w:b/>
                <w:sz w:val="22"/>
                <w:szCs w:val="22"/>
              </w:rPr>
            </w:pPr>
            <w:r w:rsidRPr="00BA4578">
              <w:rPr>
                <w:rFonts w:eastAsia="Times New Roman"/>
                <w:b/>
                <w:sz w:val="22"/>
                <w:szCs w:val="22"/>
              </w:rPr>
              <w:t>Цена</w:t>
            </w:r>
            <w:r w:rsidRPr="00BA4578">
              <w:rPr>
                <w:rFonts w:eastAsia="Times New Roman"/>
                <w:b/>
                <w:spacing w:val="-2"/>
                <w:sz w:val="22"/>
                <w:szCs w:val="22"/>
              </w:rPr>
              <w:t xml:space="preserve"> </w:t>
            </w:r>
            <w:r w:rsidRPr="00BA4578">
              <w:rPr>
                <w:rFonts w:eastAsia="Times New Roman"/>
                <w:b/>
                <w:sz w:val="22"/>
                <w:szCs w:val="22"/>
              </w:rPr>
              <w:t>по</w:t>
            </w:r>
          </w:p>
          <w:p w:rsidR="00B61695" w:rsidRDefault="00B61695" w:rsidP="00BA4578">
            <w:pPr>
              <w:widowControl w:val="0"/>
              <w:autoSpaceDE w:val="0"/>
              <w:autoSpaceDN w:val="0"/>
              <w:ind w:left="109" w:right="103"/>
              <w:jc w:val="center"/>
              <w:rPr>
                <w:rFonts w:eastAsia="Times New Roman"/>
                <w:b/>
                <w:sz w:val="22"/>
                <w:szCs w:val="22"/>
                <w:lang w:val="sr-Cyrl-RS"/>
              </w:rPr>
            </w:pPr>
            <w:r w:rsidRPr="00BA4578">
              <w:rPr>
                <w:rFonts w:eastAsia="Times New Roman"/>
                <w:b/>
                <w:sz w:val="22"/>
                <w:szCs w:val="22"/>
              </w:rPr>
              <w:t>јединици мере</w:t>
            </w:r>
          </w:p>
          <w:p w:rsidR="00B61695" w:rsidRPr="00BA4578" w:rsidRDefault="00B61695" w:rsidP="00BA4578">
            <w:pPr>
              <w:widowControl w:val="0"/>
              <w:autoSpaceDE w:val="0"/>
              <w:autoSpaceDN w:val="0"/>
              <w:ind w:left="109" w:right="103"/>
              <w:jc w:val="center"/>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
                <w:sz w:val="22"/>
                <w:szCs w:val="22"/>
              </w:rPr>
              <w:t xml:space="preserve"> </w:t>
            </w:r>
            <w:r w:rsidRPr="00BA4578">
              <w:rPr>
                <w:rFonts w:eastAsia="Times New Roman"/>
                <w:b/>
                <w:sz w:val="22"/>
                <w:szCs w:val="22"/>
              </w:rPr>
              <w:t>пдв-а</w:t>
            </w:r>
          </w:p>
        </w:tc>
        <w:tc>
          <w:tcPr>
            <w:tcW w:w="1701" w:type="dxa"/>
          </w:tcPr>
          <w:p w:rsidR="00B61695" w:rsidRPr="00BA4578" w:rsidRDefault="00B61695" w:rsidP="00BA4578">
            <w:pPr>
              <w:widowControl w:val="0"/>
              <w:autoSpaceDE w:val="0"/>
              <w:autoSpaceDN w:val="0"/>
              <w:rPr>
                <w:rFonts w:eastAsia="Times New Roman"/>
                <w:b/>
                <w:szCs w:val="22"/>
              </w:rPr>
            </w:pPr>
          </w:p>
          <w:p w:rsidR="00B61695" w:rsidRDefault="00B61695" w:rsidP="00BA4578">
            <w:pPr>
              <w:widowControl w:val="0"/>
              <w:autoSpaceDE w:val="0"/>
              <w:autoSpaceDN w:val="0"/>
              <w:spacing w:before="193"/>
              <w:ind w:left="181" w:right="165" w:firstLine="40"/>
              <w:rPr>
                <w:rFonts w:eastAsia="Times New Roman"/>
                <w:b/>
                <w:spacing w:val="-52"/>
                <w:sz w:val="22"/>
                <w:szCs w:val="22"/>
                <w:lang w:val="sr-Cyrl-RS"/>
              </w:rPr>
            </w:pPr>
            <w:r>
              <w:rPr>
                <w:rFonts w:eastAsia="Times New Roman"/>
                <w:b/>
                <w:sz w:val="22"/>
                <w:szCs w:val="22"/>
                <w:lang w:val="sr-Cyrl-RS"/>
              </w:rPr>
              <w:t>Укупна в</w:t>
            </w:r>
            <w:r w:rsidRPr="00BA4578">
              <w:rPr>
                <w:rFonts w:eastAsia="Times New Roman"/>
                <w:b/>
                <w:sz w:val="22"/>
                <w:szCs w:val="22"/>
              </w:rPr>
              <w:t>редност</w:t>
            </w:r>
            <w:r w:rsidRPr="00BA4578">
              <w:rPr>
                <w:rFonts w:eastAsia="Times New Roman"/>
                <w:b/>
                <w:spacing w:val="-52"/>
                <w:sz w:val="22"/>
                <w:szCs w:val="22"/>
              </w:rPr>
              <w:t xml:space="preserve"> </w:t>
            </w:r>
          </w:p>
          <w:p w:rsidR="00B61695" w:rsidRPr="00BA4578" w:rsidRDefault="00B61695" w:rsidP="00BA4578">
            <w:pPr>
              <w:widowControl w:val="0"/>
              <w:autoSpaceDE w:val="0"/>
              <w:autoSpaceDN w:val="0"/>
              <w:spacing w:before="193"/>
              <w:ind w:left="181" w:right="165" w:firstLine="40"/>
              <w:rPr>
                <w:rFonts w:eastAsia="Times New Roman"/>
                <w:b/>
                <w:sz w:val="22"/>
                <w:szCs w:val="22"/>
              </w:rPr>
            </w:pPr>
            <w:r w:rsidRPr="00BA4578">
              <w:rPr>
                <w:rFonts w:eastAsia="Times New Roman"/>
                <w:b/>
                <w:sz w:val="22"/>
                <w:szCs w:val="22"/>
              </w:rPr>
              <w:t>без</w:t>
            </w:r>
            <w:r w:rsidRPr="00BA4578">
              <w:rPr>
                <w:rFonts w:eastAsia="Times New Roman"/>
                <w:b/>
                <w:spacing w:val="-12"/>
                <w:sz w:val="22"/>
                <w:szCs w:val="22"/>
              </w:rPr>
              <w:t xml:space="preserve"> </w:t>
            </w:r>
            <w:r w:rsidRPr="00BA4578">
              <w:rPr>
                <w:rFonts w:eastAsia="Times New Roman"/>
                <w:b/>
                <w:sz w:val="22"/>
                <w:szCs w:val="22"/>
              </w:rPr>
              <w:t>ПДВ-а</w:t>
            </w:r>
          </w:p>
        </w:tc>
      </w:tr>
      <w:tr w:rsidR="00B61695" w:rsidRPr="00BA4578" w:rsidTr="00B73DE2">
        <w:trPr>
          <w:trHeight w:val="251"/>
        </w:trPr>
        <w:tc>
          <w:tcPr>
            <w:tcW w:w="851" w:type="dxa"/>
            <w:shd w:val="clear" w:color="auto" w:fill="DFDFDF"/>
          </w:tcPr>
          <w:p w:rsidR="00B61695" w:rsidRPr="00BA4578" w:rsidRDefault="00B61695"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827" w:type="dxa"/>
            <w:shd w:val="clear" w:color="auto" w:fill="DFDFDF"/>
          </w:tcPr>
          <w:p w:rsidR="00B61695" w:rsidRPr="00BA4578" w:rsidRDefault="00B61695"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276" w:type="dxa"/>
            <w:shd w:val="clear" w:color="auto" w:fill="DFDFDF"/>
          </w:tcPr>
          <w:p w:rsidR="00B61695" w:rsidRPr="00BA4578" w:rsidRDefault="00B61695"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276" w:type="dxa"/>
            <w:shd w:val="clear" w:color="auto" w:fill="DFDFDF"/>
          </w:tcPr>
          <w:p w:rsidR="00B61695" w:rsidRPr="00BA4578" w:rsidRDefault="00B61695"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701" w:type="dxa"/>
            <w:shd w:val="clear" w:color="auto" w:fill="DFDFDF"/>
          </w:tcPr>
          <w:p w:rsidR="00B61695" w:rsidRPr="00BA4578" w:rsidRDefault="00B61695"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701" w:type="dxa"/>
            <w:shd w:val="clear" w:color="auto" w:fill="DFDFDF"/>
          </w:tcPr>
          <w:p w:rsidR="00B61695" w:rsidRPr="00BA4578" w:rsidRDefault="00B61695"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r>
      <w:tr w:rsidR="00B73DE2" w:rsidRPr="00BA4578" w:rsidTr="00B73DE2">
        <w:trPr>
          <w:trHeight w:val="505"/>
        </w:trPr>
        <w:tc>
          <w:tcPr>
            <w:tcW w:w="851" w:type="dxa"/>
          </w:tcPr>
          <w:p w:rsidR="00B73DE2" w:rsidRPr="00BA4578" w:rsidRDefault="00B73DE2" w:rsidP="00AF2CA6">
            <w:pPr>
              <w:widowControl w:val="0"/>
              <w:autoSpaceDE w:val="0"/>
              <w:autoSpaceDN w:val="0"/>
              <w:jc w:val="center"/>
              <w:rPr>
                <w:rFonts w:eastAsia="Times New Roman"/>
                <w:sz w:val="22"/>
                <w:szCs w:val="22"/>
              </w:rPr>
            </w:pPr>
            <w:r w:rsidRPr="00BA4578">
              <w:rPr>
                <w:rFonts w:eastAsia="Times New Roman"/>
                <w:sz w:val="22"/>
                <w:szCs w:val="22"/>
              </w:rPr>
              <w:t>1.</w:t>
            </w:r>
          </w:p>
        </w:tc>
        <w:tc>
          <w:tcPr>
            <w:tcW w:w="3827" w:type="dxa"/>
          </w:tcPr>
          <w:p w:rsidR="00B73DE2" w:rsidRDefault="00B73DE2" w:rsidP="00B73DE2">
            <w:pPr>
              <w:jc w:val="center"/>
              <w:rPr>
                <w:lang w:val="sr-Cyrl-RS"/>
              </w:rPr>
            </w:pPr>
            <w:r>
              <w:rPr>
                <w:lang w:val="sr-Cyrl-RS"/>
              </w:rPr>
              <w:t>Демонтажа неисправне турбине</w:t>
            </w:r>
          </w:p>
        </w:tc>
        <w:tc>
          <w:tcPr>
            <w:tcW w:w="1276" w:type="dxa"/>
          </w:tcPr>
          <w:p w:rsidR="00B73DE2" w:rsidRDefault="00B73DE2" w:rsidP="00B73DE2">
            <w:pPr>
              <w:jc w:val="center"/>
              <w:rPr>
                <w:lang w:val="sr-Cyrl-RS"/>
              </w:rPr>
            </w:pPr>
            <w:r>
              <w:rPr>
                <w:lang w:val="sr-Cyrl-RS"/>
              </w:rPr>
              <w:t>ком</w:t>
            </w:r>
          </w:p>
        </w:tc>
        <w:tc>
          <w:tcPr>
            <w:tcW w:w="1276" w:type="dxa"/>
          </w:tcPr>
          <w:p w:rsidR="00B73DE2" w:rsidRDefault="00B73DE2" w:rsidP="00B73DE2">
            <w:pPr>
              <w:jc w:val="center"/>
              <w:rPr>
                <w:lang w:val="sr-Cyrl-RS"/>
              </w:rPr>
            </w:pPr>
            <w:r>
              <w:rPr>
                <w:lang w:val="sr-Cyrl-RS"/>
              </w:rPr>
              <w:t>1</w:t>
            </w:r>
          </w:p>
        </w:tc>
        <w:tc>
          <w:tcPr>
            <w:tcW w:w="1701" w:type="dxa"/>
          </w:tcPr>
          <w:p w:rsidR="00B73DE2" w:rsidRPr="00BA4578" w:rsidRDefault="00B73DE2" w:rsidP="00AF2CA6">
            <w:pPr>
              <w:widowControl w:val="0"/>
              <w:autoSpaceDE w:val="0"/>
              <w:autoSpaceDN w:val="0"/>
              <w:rPr>
                <w:rFonts w:eastAsia="Times New Roman"/>
                <w:sz w:val="20"/>
                <w:szCs w:val="22"/>
              </w:rPr>
            </w:pPr>
          </w:p>
        </w:tc>
        <w:tc>
          <w:tcPr>
            <w:tcW w:w="1701" w:type="dxa"/>
          </w:tcPr>
          <w:p w:rsidR="00B73DE2" w:rsidRPr="00BA4578" w:rsidRDefault="00B73DE2" w:rsidP="00AF2CA6">
            <w:pPr>
              <w:widowControl w:val="0"/>
              <w:autoSpaceDE w:val="0"/>
              <w:autoSpaceDN w:val="0"/>
              <w:rPr>
                <w:rFonts w:eastAsia="Times New Roman"/>
                <w:sz w:val="20"/>
                <w:szCs w:val="22"/>
              </w:rPr>
            </w:pPr>
          </w:p>
        </w:tc>
      </w:tr>
      <w:tr w:rsidR="00B73DE2" w:rsidRPr="00BA4578" w:rsidTr="00B73DE2">
        <w:trPr>
          <w:trHeight w:val="505"/>
        </w:trPr>
        <w:tc>
          <w:tcPr>
            <w:tcW w:w="851" w:type="dxa"/>
          </w:tcPr>
          <w:p w:rsidR="00B73DE2" w:rsidRPr="00B61695" w:rsidRDefault="00B73DE2" w:rsidP="00AF2CA6">
            <w:pPr>
              <w:widowControl w:val="0"/>
              <w:autoSpaceDE w:val="0"/>
              <w:autoSpaceDN w:val="0"/>
              <w:jc w:val="center"/>
              <w:rPr>
                <w:rFonts w:eastAsia="Times New Roman"/>
                <w:sz w:val="22"/>
                <w:szCs w:val="22"/>
                <w:lang w:val="sr-Cyrl-RS"/>
              </w:rPr>
            </w:pPr>
            <w:r>
              <w:rPr>
                <w:rFonts w:eastAsia="Times New Roman"/>
                <w:sz w:val="22"/>
                <w:szCs w:val="22"/>
                <w:lang w:val="sr-Cyrl-RS"/>
              </w:rPr>
              <w:t>2.</w:t>
            </w:r>
          </w:p>
        </w:tc>
        <w:tc>
          <w:tcPr>
            <w:tcW w:w="3827" w:type="dxa"/>
          </w:tcPr>
          <w:p w:rsidR="00B73DE2" w:rsidRDefault="00B73DE2" w:rsidP="00B73DE2">
            <w:pPr>
              <w:jc w:val="center"/>
              <w:rPr>
                <w:lang w:val="sr-Cyrl-RS"/>
              </w:rPr>
            </w:pPr>
            <w:r>
              <w:rPr>
                <w:lang w:val="sr-Cyrl-RS"/>
              </w:rPr>
              <w:t>Чишћење и преглед одводних канала за димне гасове</w:t>
            </w:r>
          </w:p>
        </w:tc>
        <w:tc>
          <w:tcPr>
            <w:tcW w:w="1276" w:type="dxa"/>
          </w:tcPr>
          <w:p w:rsidR="00B73DE2" w:rsidRDefault="00B73DE2" w:rsidP="00B73DE2">
            <w:pPr>
              <w:jc w:val="center"/>
              <w:rPr>
                <w:lang w:val="sr-Cyrl-RS"/>
              </w:rPr>
            </w:pPr>
            <w:r>
              <w:rPr>
                <w:lang w:val="sr-Cyrl-RS"/>
              </w:rPr>
              <w:t>ком</w:t>
            </w:r>
          </w:p>
        </w:tc>
        <w:tc>
          <w:tcPr>
            <w:tcW w:w="1276" w:type="dxa"/>
          </w:tcPr>
          <w:p w:rsidR="00B73DE2" w:rsidRDefault="00B73DE2" w:rsidP="00B73DE2">
            <w:pPr>
              <w:jc w:val="center"/>
              <w:rPr>
                <w:lang w:val="sr-Cyrl-RS"/>
              </w:rPr>
            </w:pPr>
            <w:r>
              <w:rPr>
                <w:lang w:val="sr-Cyrl-RS"/>
              </w:rPr>
              <w:t>2</w:t>
            </w:r>
          </w:p>
        </w:tc>
        <w:tc>
          <w:tcPr>
            <w:tcW w:w="1701" w:type="dxa"/>
          </w:tcPr>
          <w:p w:rsidR="00B73DE2" w:rsidRPr="00BA4578" w:rsidRDefault="00B73DE2" w:rsidP="00AF2CA6">
            <w:pPr>
              <w:widowControl w:val="0"/>
              <w:autoSpaceDE w:val="0"/>
              <w:autoSpaceDN w:val="0"/>
              <w:rPr>
                <w:rFonts w:eastAsia="Times New Roman"/>
                <w:sz w:val="20"/>
                <w:szCs w:val="22"/>
              </w:rPr>
            </w:pPr>
          </w:p>
        </w:tc>
        <w:tc>
          <w:tcPr>
            <w:tcW w:w="1701" w:type="dxa"/>
          </w:tcPr>
          <w:p w:rsidR="00B73DE2" w:rsidRPr="00BA4578" w:rsidRDefault="00B73DE2" w:rsidP="00AF2CA6">
            <w:pPr>
              <w:widowControl w:val="0"/>
              <w:autoSpaceDE w:val="0"/>
              <w:autoSpaceDN w:val="0"/>
              <w:rPr>
                <w:rFonts w:eastAsia="Times New Roman"/>
                <w:sz w:val="20"/>
                <w:szCs w:val="22"/>
              </w:rPr>
            </w:pPr>
          </w:p>
        </w:tc>
      </w:tr>
      <w:tr w:rsidR="00B73DE2" w:rsidRPr="00BA4578" w:rsidTr="00B73DE2">
        <w:trPr>
          <w:trHeight w:val="506"/>
        </w:trPr>
        <w:tc>
          <w:tcPr>
            <w:tcW w:w="851" w:type="dxa"/>
          </w:tcPr>
          <w:p w:rsidR="00B73DE2" w:rsidRPr="00B61695" w:rsidRDefault="00B73DE2" w:rsidP="00AF2CA6">
            <w:pPr>
              <w:widowControl w:val="0"/>
              <w:autoSpaceDE w:val="0"/>
              <w:autoSpaceDN w:val="0"/>
              <w:jc w:val="center"/>
              <w:rPr>
                <w:rFonts w:eastAsia="Times New Roman"/>
                <w:sz w:val="22"/>
                <w:szCs w:val="22"/>
                <w:lang w:val="sr-Cyrl-RS"/>
              </w:rPr>
            </w:pPr>
            <w:r>
              <w:rPr>
                <w:rFonts w:eastAsia="Times New Roman"/>
                <w:sz w:val="22"/>
                <w:szCs w:val="22"/>
                <w:lang w:val="sr-Cyrl-RS"/>
              </w:rPr>
              <w:t>3.</w:t>
            </w:r>
          </w:p>
        </w:tc>
        <w:tc>
          <w:tcPr>
            <w:tcW w:w="3827" w:type="dxa"/>
          </w:tcPr>
          <w:p w:rsidR="00B73DE2" w:rsidRDefault="00B73DE2" w:rsidP="00B73DE2">
            <w:pPr>
              <w:jc w:val="center"/>
              <w:rPr>
                <w:lang w:val="sr-Cyrl-RS"/>
              </w:rPr>
            </w:pPr>
            <w:r>
              <w:rPr>
                <w:lang w:val="sr-Cyrl-RS"/>
              </w:rPr>
              <w:t>Замена заптивних гума турбине</w:t>
            </w:r>
          </w:p>
        </w:tc>
        <w:tc>
          <w:tcPr>
            <w:tcW w:w="1276" w:type="dxa"/>
          </w:tcPr>
          <w:p w:rsidR="00B73DE2" w:rsidRDefault="00B73DE2" w:rsidP="00B73DE2">
            <w:pPr>
              <w:jc w:val="center"/>
              <w:rPr>
                <w:lang w:val="sr-Cyrl-RS"/>
              </w:rPr>
            </w:pPr>
            <w:r>
              <w:rPr>
                <w:lang w:val="sr-Cyrl-RS"/>
              </w:rPr>
              <w:t>комплет/сет</w:t>
            </w:r>
          </w:p>
        </w:tc>
        <w:tc>
          <w:tcPr>
            <w:tcW w:w="1276" w:type="dxa"/>
          </w:tcPr>
          <w:p w:rsidR="00B73DE2" w:rsidRDefault="00B73DE2" w:rsidP="00B73DE2">
            <w:pPr>
              <w:jc w:val="center"/>
              <w:rPr>
                <w:lang w:val="sr-Cyrl-RS"/>
              </w:rPr>
            </w:pPr>
            <w:r>
              <w:rPr>
                <w:lang w:val="sr-Cyrl-RS"/>
              </w:rPr>
              <w:t>1</w:t>
            </w:r>
          </w:p>
        </w:tc>
        <w:tc>
          <w:tcPr>
            <w:tcW w:w="1701" w:type="dxa"/>
          </w:tcPr>
          <w:p w:rsidR="00B73DE2" w:rsidRPr="00BA4578" w:rsidRDefault="00B73DE2" w:rsidP="00AF2CA6">
            <w:pPr>
              <w:widowControl w:val="0"/>
              <w:autoSpaceDE w:val="0"/>
              <w:autoSpaceDN w:val="0"/>
              <w:rPr>
                <w:rFonts w:eastAsia="Times New Roman"/>
                <w:sz w:val="20"/>
                <w:szCs w:val="22"/>
              </w:rPr>
            </w:pPr>
          </w:p>
        </w:tc>
        <w:tc>
          <w:tcPr>
            <w:tcW w:w="1701" w:type="dxa"/>
          </w:tcPr>
          <w:p w:rsidR="00B73DE2" w:rsidRPr="00BA4578" w:rsidRDefault="00B73DE2" w:rsidP="00AF2CA6">
            <w:pPr>
              <w:widowControl w:val="0"/>
              <w:autoSpaceDE w:val="0"/>
              <w:autoSpaceDN w:val="0"/>
              <w:rPr>
                <w:rFonts w:eastAsia="Times New Roman"/>
                <w:sz w:val="20"/>
                <w:szCs w:val="22"/>
              </w:rPr>
            </w:pPr>
          </w:p>
        </w:tc>
      </w:tr>
      <w:tr w:rsidR="00B73DE2" w:rsidRPr="00BA4578" w:rsidTr="00B73DE2">
        <w:trPr>
          <w:trHeight w:val="505"/>
        </w:trPr>
        <w:tc>
          <w:tcPr>
            <w:tcW w:w="851" w:type="dxa"/>
          </w:tcPr>
          <w:p w:rsidR="00B73DE2" w:rsidRDefault="00B73DE2" w:rsidP="00AF2CA6">
            <w:pPr>
              <w:widowControl w:val="0"/>
              <w:autoSpaceDE w:val="0"/>
              <w:autoSpaceDN w:val="0"/>
              <w:jc w:val="center"/>
              <w:rPr>
                <w:rFonts w:eastAsia="Times New Roman"/>
                <w:sz w:val="22"/>
                <w:szCs w:val="22"/>
                <w:lang w:val="sr-Cyrl-RS"/>
              </w:rPr>
            </w:pPr>
          </w:p>
          <w:p w:rsidR="00B73DE2" w:rsidRPr="00B61695" w:rsidRDefault="00B73DE2" w:rsidP="00AF2CA6">
            <w:pPr>
              <w:widowControl w:val="0"/>
              <w:autoSpaceDE w:val="0"/>
              <w:autoSpaceDN w:val="0"/>
              <w:jc w:val="center"/>
              <w:rPr>
                <w:rFonts w:eastAsia="Times New Roman"/>
                <w:sz w:val="22"/>
                <w:szCs w:val="22"/>
                <w:lang w:val="sr-Cyrl-RS"/>
              </w:rPr>
            </w:pPr>
            <w:r>
              <w:rPr>
                <w:rFonts w:eastAsia="Times New Roman"/>
                <w:sz w:val="22"/>
                <w:szCs w:val="22"/>
                <w:lang w:val="sr-Cyrl-RS"/>
              </w:rPr>
              <w:t>4.</w:t>
            </w:r>
          </w:p>
        </w:tc>
        <w:tc>
          <w:tcPr>
            <w:tcW w:w="3827" w:type="dxa"/>
          </w:tcPr>
          <w:p w:rsidR="00B73DE2" w:rsidRDefault="00B73DE2" w:rsidP="00B73DE2">
            <w:pPr>
              <w:jc w:val="center"/>
              <w:rPr>
                <w:lang w:val="sr-Cyrl-RS"/>
              </w:rPr>
            </w:pPr>
            <w:r>
              <w:rPr>
                <w:lang w:val="sr-Cyrl-RS"/>
              </w:rPr>
              <w:t>Набавка,</w:t>
            </w:r>
            <w:r w:rsidR="00E47C91">
              <w:rPr>
                <w:lang w:val="sr-Cyrl-RS"/>
              </w:rPr>
              <w:t xml:space="preserve"> </w:t>
            </w:r>
            <w:r>
              <w:rPr>
                <w:lang w:val="sr-Cyrl-RS"/>
              </w:rPr>
              <w:t>испорука  и уградња нове турбине</w:t>
            </w:r>
          </w:p>
        </w:tc>
        <w:tc>
          <w:tcPr>
            <w:tcW w:w="1276" w:type="dxa"/>
          </w:tcPr>
          <w:p w:rsidR="00B73DE2" w:rsidRDefault="00B73DE2" w:rsidP="00B73DE2">
            <w:pPr>
              <w:jc w:val="center"/>
              <w:rPr>
                <w:lang w:val="sr-Cyrl-RS"/>
              </w:rPr>
            </w:pPr>
            <w:r>
              <w:rPr>
                <w:lang w:val="sr-Cyrl-RS"/>
              </w:rPr>
              <w:t>ком</w:t>
            </w:r>
          </w:p>
        </w:tc>
        <w:tc>
          <w:tcPr>
            <w:tcW w:w="1276" w:type="dxa"/>
          </w:tcPr>
          <w:p w:rsidR="00B73DE2" w:rsidRDefault="00B73DE2" w:rsidP="00B73DE2">
            <w:pPr>
              <w:jc w:val="center"/>
              <w:rPr>
                <w:lang w:val="sr-Cyrl-RS"/>
              </w:rPr>
            </w:pPr>
            <w:r>
              <w:rPr>
                <w:lang w:val="sr-Cyrl-RS"/>
              </w:rPr>
              <w:t>1</w:t>
            </w:r>
          </w:p>
        </w:tc>
        <w:tc>
          <w:tcPr>
            <w:tcW w:w="1701" w:type="dxa"/>
          </w:tcPr>
          <w:p w:rsidR="00B73DE2" w:rsidRPr="00BA4578" w:rsidRDefault="00B73DE2" w:rsidP="00AF2CA6">
            <w:pPr>
              <w:widowControl w:val="0"/>
              <w:autoSpaceDE w:val="0"/>
              <w:autoSpaceDN w:val="0"/>
              <w:rPr>
                <w:rFonts w:eastAsia="Times New Roman"/>
                <w:sz w:val="20"/>
                <w:szCs w:val="22"/>
              </w:rPr>
            </w:pPr>
          </w:p>
        </w:tc>
        <w:tc>
          <w:tcPr>
            <w:tcW w:w="1701" w:type="dxa"/>
          </w:tcPr>
          <w:p w:rsidR="00B73DE2" w:rsidRPr="00BA4578" w:rsidRDefault="00B73DE2" w:rsidP="00AF2CA6">
            <w:pPr>
              <w:widowControl w:val="0"/>
              <w:autoSpaceDE w:val="0"/>
              <w:autoSpaceDN w:val="0"/>
              <w:rPr>
                <w:rFonts w:eastAsia="Times New Roman"/>
                <w:sz w:val="20"/>
                <w:szCs w:val="22"/>
              </w:rPr>
            </w:pPr>
          </w:p>
        </w:tc>
      </w:tr>
      <w:tr w:rsidR="00B73DE2" w:rsidRPr="00BA4578" w:rsidTr="00B73DE2">
        <w:trPr>
          <w:trHeight w:val="505"/>
        </w:trPr>
        <w:tc>
          <w:tcPr>
            <w:tcW w:w="851" w:type="dxa"/>
          </w:tcPr>
          <w:p w:rsidR="00B73DE2" w:rsidRDefault="00B73DE2" w:rsidP="00AF2CA6">
            <w:pPr>
              <w:widowControl w:val="0"/>
              <w:autoSpaceDE w:val="0"/>
              <w:autoSpaceDN w:val="0"/>
              <w:jc w:val="center"/>
              <w:rPr>
                <w:rFonts w:eastAsia="Times New Roman"/>
                <w:sz w:val="22"/>
                <w:szCs w:val="22"/>
                <w:lang w:val="sr-Cyrl-RS"/>
              </w:rPr>
            </w:pPr>
            <w:r>
              <w:rPr>
                <w:rFonts w:eastAsia="Times New Roman"/>
                <w:sz w:val="22"/>
                <w:szCs w:val="22"/>
                <w:lang w:val="sr-Cyrl-RS"/>
              </w:rPr>
              <w:t>5.</w:t>
            </w:r>
          </w:p>
        </w:tc>
        <w:tc>
          <w:tcPr>
            <w:tcW w:w="3827" w:type="dxa"/>
          </w:tcPr>
          <w:p w:rsidR="00B73DE2" w:rsidRDefault="00B73DE2" w:rsidP="00B73DE2">
            <w:pPr>
              <w:jc w:val="center"/>
              <w:rPr>
                <w:lang w:val="sr-Cyrl-RS"/>
              </w:rPr>
            </w:pPr>
            <w:r>
              <w:rPr>
                <w:lang w:val="sr-Cyrl-RS"/>
              </w:rPr>
              <w:t>Пуштање у рад котла,сетовање параметара</w:t>
            </w:r>
          </w:p>
        </w:tc>
        <w:tc>
          <w:tcPr>
            <w:tcW w:w="1276" w:type="dxa"/>
          </w:tcPr>
          <w:p w:rsidR="00B73DE2" w:rsidRDefault="00B73DE2" w:rsidP="00B73DE2">
            <w:pPr>
              <w:jc w:val="center"/>
              <w:rPr>
                <w:lang w:val="sr-Cyrl-RS"/>
              </w:rPr>
            </w:pPr>
            <w:r>
              <w:rPr>
                <w:lang w:val="sr-Cyrl-RS"/>
              </w:rPr>
              <w:t>ком</w:t>
            </w:r>
          </w:p>
        </w:tc>
        <w:tc>
          <w:tcPr>
            <w:tcW w:w="1276" w:type="dxa"/>
          </w:tcPr>
          <w:p w:rsidR="00B73DE2" w:rsidRDefault="00B73DE2" w:rsidP="00B73DE2">
            <w:pPr>
              <w:jc w:val="center"/>
              <w:rPr>
                <w:lang w:val="sr-Cyrl-RS"/>
              </w:rPr>
            </w:pPr>
            <w:r>
              <w:rPr>
                <w:lang w:val="sr-Cyrl-RS"/>
              </w:rPr>
              <w:t>1</w:t>
            </w:r>
          </w:p>
        </w:tc>
        <w:tc>
          <w:tcPr>
            <w:tcW w:w="1701" w:type="dxa"/>
          </w:tcPr>
          <w:p w:rsidR="00B73DE2" w:rsidRPr="00BA4578" w:rsidRDefault="00B73DE2" w:rsidP="00AF2CA6">
            <w:pPr>
              <w:widowControl w:val="0"/>
              <w:autoSpaceDE w:val="0"/>
              <w:autoSpaceDN w:val="0"/>
              <w:rPr>
                <w:rFonts w:eastAsia="Times New Roman"/>
                <w:sz w:val="20"/>
                <w:szCs w:val="22"/>
              </w:rPr>
            </w:pPr>
          </w:p>
        </w:tc>
        <w:tc>
          <w:tcPr>
            <w:tcW w:w="1701" w:type="dxa"/>
          </w:tcPr>
          <w:p w:rsidR="00B73DE2" w:rsidRPr="00BA4578" w:rsidRDefault="00B73DE2" w:rsidP="00AF2CA6">
            <w:pPr>
              <w:widowControl w:val="0"/>
              <w:autoSpaceDE w:val="0"/>
              <w:autoSpaceDN w:val="0"/>
              <w:rPr>
                <w:rFonts w:eastAsia="Times New Roman"/>
                <w:sz w:val="20"/>
                <w:szCs w:val="22"/>
              </w:rPr>
            </w:pPr>
          </w:p>
        </w:tc>
      </w:tr>
      <w:tr w:rsidR="00B73DE2" w:rsidRPr="00BA4578" w:rsidTr="00B73DE2">
        <w:trPr>
          <w:trHeight w:val="505"/>
        </w:trPr>
        <w:tc>
          <w:tcPr>
            <w:tcW w:w="851" w:type="dxa"/>
          </w:tcPr>
          <w:p w:rsidR="00B73DE2" w:rsidRDefault="00B73DE2" w:rsidP="00AF2CA6">
            <w:pPr>
              <w:widowControl w:val="0"/>
              <w:autoSpaceDE w:val="0"/>
              <w:autoSpaceDN w:val="0"/>
              <w:jc w:val="center"/>
              <w:rPr>
                <w:rFonts w:eastAsia="Times New Roman"/>
                <w:sz w:val="22"/>
                <w:szCs w:val="22"/>
                <w:lang w:val="sr-Cyrl-RS"/>
              </w:rPr>
            </w:pPr>
            <w:r>
              <w:rPr>
                <w:rFonts w:eastAsia="Times New Roman"/>
                <w:sz w:val="22"/>
                <w:szCs w:val="22"/>
                <w:lang w:val="sr-Cyrl-RS"/>
              </w:rPr>
              <w:t>6.</w:t>
            </w:r>
          </w:p>
        </w:tc>
        <w:tc>
          <w:tcPr>
            <w:tcW w:w="3827" w:type="dxa"/>
          </w:tcPr>
          <w:p w:rsidR="00B73DE2" w:rsidRPr="00BD697B" w:rsidRDefault="00B73DE2" w:rsidP="00B73DE2">
            <w:pPr>
              <w:jc w:val="center"/>
              <w:rPr>
                <w:lang w:val="sr-Cyrl-RS"/>
              </w:rPr>
            </w:pPr>
            <w:r>
              <w:rPr>
                <w:lang w:val="sr-Cyrl-RS"/>
              </w:rPr>
              <w:t>Мерење и анализа параметара сагоревања до дозвољене вредности</w:t>
            </w:r>
          </w:p>
        </w:tc>
        <w:tc>
          <w:tcPr>
            <w:tcW w:w="1276" w:type="dxa"/>
          </w:tcPr>
          <w:p w:rsidR="00B73DE2" w:rsidRDefault="00B73DE2" w:rsidP="00B73DE2">
            <w:pPr>
              <w:jc w:val="center"/>
              <w:rPr>
                <w:lang w:val="sr-Cyrl-RS"/>
              </w:rPr>
            </w:pPr>
            <w:r>
              <w:rPr>
                <w:lang w:val="sr-Cyrl-RS"/>
              </w:rPr>
              <w:t>ком</w:t>
            </w:r>
          </w:p>
        </w:tc>
        <w:tc>
          <w:tcPr>
            <w:tcW w:w="1276" w:type="dxa"/>
          </w:tcPr>
          <w:p w:rsidR="00B73DE2" w:rsidRDefault="00B73DE2" w:rsidP="00B73DE2">
            <w:pPr>
              <w:jc w:val="center"/>
              <w:rPr>
                <w:lang w:val="sr-Cyrl-RS"/>
              </w:rPr>
            </w:pPr>
            <w:r>
              <w:rPr>
                <w:lang w:val="sr-Cyrl-RS"/>
              </w:rPr>
              <w:t>2</w:t>
            </w:r>
          </w:p>
        </w:tc>
        <w:tc>
          <w:tcPr>
            <w:tcW w:w="1701" w:type="dxa"/>
          </w:tcPr>
          <w:p w:rsidR="00B73DE2" w:rsidRPr="00BA4578" w:rsidRDefault="00B73DE2" w:rsidP="00AF2CA6">
            <w:pPr>
              <w:widowControl w:val="0"/>
              <w:autoSpaceDE w:val="0"/>
              <w:autoSpaceDN w:val="0"/>
              <w:rPr>
                <w:rFonts w:eastAsia="Times New Roman"/>
                <w:sz w:val="20"/>
                <w:szCs w:val="22"/>
              </w:rPr>
            </w:pPr>
          </w:p>
        </w:tc>
        <w:tc>
          <w:tcPr>
            <w:tcW w:w="1701" w:type="dxa"/>
          </w:tcPr>
          <w:p w:rsidR="00B73DE2" w:rsidRPr="00BA4578" w:rsidRDefault="00B73DE2" w:rsidP="00AF2CA6">
            <w:pPr>
              <w:widowControl w:val="0"/>
              <w:autoSpaceDE w:val="0"/>
              <w:autoSpaceDN w:val="0"/>
              <w:rPr>
                <w:rFonts w:eastAsia="Times New Roman"/>
                <w:sz w:val="20"/>
                <w:szCs w:val="22"/>
              </w:rPr>
            </w:pPr>
          </w:p>
        </w:tc>
      </w:tr>
      <w:tr w:rsidR="007A61F6" w:rsidRPr="00BA4578" w:rsidTr="00B73DE2">
        <w:trPr>
          <w:trHeight w:val="473"/>
        </w:trPr>
        <w:tc>
          <w:tcPr>
            <w:tcW w:w="8931" w:type="dxa"/>
            <w:gridSpan w:val="5"/>
          </w:tcPr>
          <w:p w:rsidR="007A61F6" w:rsidRPr="00BA4578" w:rsidRDefault="007A61F6" w:rsidP="00BA4578">
            <w:pPr>
              <w:widowControl w:val="0"/>
              <w:autoSpaceDE w:val="0"/>
              <w:autoSpaceDN w:val="0"/>
              <w:spacing w:before="4" w:line="232" w:lineRule="auto"/>
              <w:ind w:left="110" w:firstLine="5667"/>
              <w:jc w:val="both"/>
              <w:rPr>
                <w:rFonts w:eastAsia="Times New Roman"/>
                <w:sz w:val="20"/>
                <w:szCs w:val="22"/>
                <w:lang w:val="sr-Cyrl-RS"/>
              </w:rPr>
            </w:pPr>
            <w:r w:rsidRPr="00BA4578">
              <w:rPr>
                <w:rFonts w:eastAsia="Times New Roman"/>
                <w:b/>
                <w:sz w:val="22"/>
                <w:szCs w:val="22"/>
              </w:rPr>
              <w:t>УКУПНО</w:t>
            </w:r>
            <w:r w:rsidRPr="00BA4578">
              <w:rPr>
                <w:rFonts w:eastAsia="Times New Roman"/>
                <w:b/>
                <w:sz w:val="22"/>
                <w:szCs w:val="22"/>
                <w:lang w:val="sr-Cyrl-RS"/>
              </w:rPr>
              <w:t xml:space="preserve"> БЕЗ ПДВ</w:t>
            </w:r>
            <w:r>
              <w:rPr>
                <w:rFonts w:eastAsia="Times New Roman"/>
                <w:b/>
                <w:sz w:val="22"/>
                <w:szCs w:val="22"/>
                <w:lang w:val="sr-Cyrl-RS"/>
              </w:rPr>
              <w:t>-А</w:t>
            </w:r>
          </w:p>
        </w:tc>
        <w:tc>
          <w:tcPr>
            <w:tcW w:w="1701" w:type="dxa"/>
          </w:tcPr>
          <w:p w:rsidR="007A61F6" w:rsidRDefault="007A61F6" w:rsidP="005A0EE9"/>
        </w:tc>
      </w:tr>
      <w:tr w:rsidR="007A61F6" w:rsidRPr="00BA4578" w:rsidTr="00B73DE2">
        <w:trPr>
          <w:trHeight w:val="564"/>
        </w:trPr>
        <w:tc>
          <w:tcPr>
            <w:tcW w:w="8931" w:type="dxa"/>
            <w:gridSpan w:val="5"/>
          </w:tcPr>
          <w:p w:rsidR="007A61F6" w:rsidRPr="00BA4578" w:rsidRDefault="007A61F6" w:rsidP="00BA4578">
            <w:pPr>
              <w:widowControl w:val="0"/>
              <w:autoSpaceDE w:val="0"/>
              <w:autoSpaceDN w:val="0"/>
              <w:spacing w:before="4" w:line="232" w:lineRule="auto"/>
              <w:ind w:left="110" w:firstLine="5667"/>
              <w:jc w:val="center"/>
              <w:rPr>
                <w:rFonts w:eastAsia="Times New Roman"/>
                <w:b/>
                <w:sz w:val="22"/>
                <w:szCs w:val="22"/>
                <w:lang w:val="sr-Cyrl-RS"/>
              </w:rPr>
            </w:pPr>
            <w:r>
              <w:rPr>
                <w:rFonts w:eastAsia="Times New Roman"/>
                <w:b/>
                <w:sz w:val="22"/>
                <w:szCs w:val="22"/>
                <w:lang w:val="sr-Cyrl-RS"/>
              </w:rPr>
              <w:t>ИЗНОС ПДВ-А</w:t>
            </w:r>
          </w:p>
        </w:tc>
        <w:tc>
          <w:tcPr>
            <w:tcW w:w="1701" w:type="dxa"/>
          </w:tcPr>
          <w:p w:rsidR="007A61F6" w:rsidRDefault="007A61F6" w:rsidP="005A0EE9"/>
        </w:tc>
      </w:tr>
      <w:tr w:rsidR="007A61F6" w:rsidRPr="00BA4578" w:rsidTr="00B73DE2">
        <w:trPr>
          <w:trHeight w:val="417"/>
        </w:trPr>
        <w:tc>
          <w:tcPr>
            <w:tcW w:w="8931" w:type="dxa"/>
            <w:gridSpan w:val="5"/>
          </w:tcPr>
          <w:p w:rsidR="007A61F6" w:rsidRPr="00BA4578" w:rsidRDefault="007A61F6" w:rsidP="00BA4578">
            <w:pPr>
              <w:widowControl w:val="0"/>
              <w:autoSpaceDE w:val="0"/>
              <w:autoSpaceDN w:val="0"/>
              <w:spacing w:before="4" w:line="232" w:lineRule="auto"/>
              <w:ind w:left="110" w:firstLine="5667"/>
              <w:jc w:val="center"/>
              <w:rPr>
                <w:rFonts w:eastAsia="Times New Roman"/>
                <w:b/>
                <w:sz w:val="22"/>
                <w:szCs w:val="22"/>
                <w:lang w:val="sr-Cyrl-RS"/>
              </w:rPr>
            </w:pPr>
            <w:r w:rsidRPr="00BA4578">
              <w:rPr>
                <w:rFonts w:eastAsia="Times New Roman"/>
                <w:b/>
                <w:sz w:val="22"/>
                <w:szCs w:val="22"/>
                <w:lang w:val="sr-Cyrl-RS"/>
              </w:rPr>
              <w:t>УКУПНО СА ПДВ</w:t>
            </w:r>
            <w:r>
              <w:rPr>
                <w:rFonts w:eastAsia="Times New Roman"/>
                <w:b/>
                <w:sz w:val="22"/>
                <w:szCs w:val="22"/>
                <w:lang w:val="sr-Cyrl-RS"/>
              </w:rPr>
              <w:t>-ОМ</w:t>
            </w:r>
          </w:p>
        </w:tc>
        <w:tc>
          <w:tcPr>
            <w:tcW w:w="1701" w:type="dxa"/>
          </w:tcPr>
          <w:p w:rsidR="007A61F6" w:rsidRDefault="007A61F6" w:rsidP="005A0EE9">
            <w:pPr>
              <w:pStyle w:val="TableParagraph"/>
              <w:spacing w:before="37"/>
              <w:ind w:left="71"/>
              <w:rPr>
                <w:lang w:val="sr-Cyrl-CS"/>
              </w:rPr>
            </w:pPr>
          </w:p>
        </w:tc>
      </w:tr>
    </w:tbl>
    <w:p w:rsidR="00E47C91" w:rsidRDefault="00E47C91"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E47C91" w:rsidRDefault="00E47C91" w:rsidP="007B036F">
      <w:pPr>
        <w:suppressAutoHyphens/>
        <w:ind w:left="-142"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E47C91" w:rsidRDefault="00E47C91" w:rsidP="007B036F">
      <w:pPr>
        <w:suppressAutoHyphens/>
        <w:ind w:left="-142"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E47C91">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E47C91" w:rsidRDefault="00E47C91"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E47C91">
        <w:rPr>
          <w:rFonts w:eastAsia="Times New Roman"/>
          <w:b/>
          <w:lang w:val="sr-Cyrl-CS" w:eastAsia="sr-Latn-CS"/>
        </w:rPr>
        <w:t>135</w:t>
      </w:r>
      <w:r w:rsidRPr="009209F0">
        <w:rPr>
          <w:rFonts w:eastAsia="Times New Roman"/>
          <w:b/>
          <w:lang w:val="sr-Cyrl-CS" w:eastAsia="sr-Latn-CS"/>
        </w:rPr>
        <w:t xml:space="preserve">. </w:t>
      </w:r>
      <w:r w:rsidR="00E47C91">
        <w:rPr>
          <w:rFonts w:eastAsia="Times New Roman" w:cs="Arial"/>
          <w:b/>
          <w:lang w:val="sr-Cyrl-CS" w:eastAsia="sr-Cyrl-CS"/>
        </w:rPr>
        <w:t>О</w:t>
      </w:r>
      <w:r w:rsidR="00B73DE2">
        <w:rPr>
          <w:rFonts w:eastAsia="Times New Roman" w:cs="Arial"/>
          <w:b/>
          <w:lang w:val="sr-Cyrl-CS" w:eastAsia="sr-Cyrl-CS"/>
        </w:rPr>
        <w:t>државањ</w:t>
      </w:r>
      <w:r w:rsidR="00E47C91">
        <w:rPr>
          <w:rFonts w:eastAsia="Times New Roman" w:cs="Arial"/>
          <w:b/>
          <w:lang w:val="sr-Cyrl-CS" w:eastAsia="sr-Cyrl-CS"/>
        </w:rPr>
        <w:t>е</w:t>
      </w:r>
      <w:r w:rsidR="00B73DE2">
        <w:rPr>
          <w:rFonts w:eastAsia="Times New Roman" w:cs="Arial"/>
          <w:b/>
          <w:lang w:val="sr-Cyrl-CS" w:eastAsia="sr-Cyrl-CS"/>
        </w:rPr>
        <w:t xml:space="preserve"> гасн</w:t>
      </w:r>
      <w:r w:rsidR="00E47C91">
        <w:rPr>
          <w:rFonts w:eastAsia="Times New Roman" w:cs="Arial"/>
          <w:b/>
          <w:lang w:val="sr-Cyrl-CS" w:eastAsia="sr-Cyrl-CS"/>
        </w:rPr>
        <w:t>их</w:t>
      </w:r>
      <w:r w:rsidR="00B73DE2">
        <w:rPr>
          <w:rFonts w:eastAsia="Times New Roman" w:cs="Arial"/>
          <w:b/>
          <w:lang w:val="sr-Cyrl-CS" w:eastAsia="sr-Cyrl-CS"/>
        </w:rPr>
        <w:t xml:space="preserve"> инсталациј</w:t>
      </w:r>
      <w:r w:rsidR="00E47C91">
        <w:rPr>
          <w:rFonts w:eastAsia="Times New Roman" w:cs="Arial"/>
          <w:b/>
          <w:lang w:val="sr-Cyrl-CS" w:eastAsia="sr-Cyrl-CS"/>
        </w:rPr>
        <w:t>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A4578" w:rsidRPr="00B73DE2"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B73DE2" w:rsidRPr="001C10C3" w:rsidRDefault="00B73DE2" w:rsidP="00B73DE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 xml:space="preserve">да има ангажовано најмање једно лице које је стручно оспособљено за извођење и одржавање гасних инсталација и гасних уређаја </w:t>
      </w: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E47C91">
        <w:rPr>
          <w:rFonts w:eastAsia="Times New Roman"/>
          <w:b/>
          <w:lang w:val="sr-Cyrl-CS" w:eastAsia="sr-Latn-CS"/>
        </w:rPr>
        <w:t>135</w:t>
      </w:r>
      <w:r w:rsidR="00B73DE2" w:rsidRPr="009209F0">
        <w:rPr>
          <w:rFonts w:eastAsia="Times New Roman"/>
          <w:b/>
          <w:lang w:val="sr-Cyrl-CS" w:eastAsia="sr-Latn-CS"/>
        </w:rPr>
        <w:t xml:space="preserve">. </w:t>
      </w:r>
      <w:r w:rsidR="00E47C91">
        <w:rPr>
          <w:rFonts w:eastAsia="Times New Roman" w:cs="Arial"/>
          <w:b/>
          <w:lang w:val="sr-Cyrl-CS" w:eastAsia="sr-Cyrl-CS"/>
        </w:rPr>
        <w:t>Одржавање гасних инсталација</w:t>
      </w:r>
      <w:r w:rsidR="00B73DE2" w:rsidRPr="009209F0">
        <w:rPr>
          <w:rFonts w:eastAsia="Times New Roman"/>
          <w:lang w:eastAsia="ar-SA"/>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E47C91">
        <w:rPr>
          <w:rFonts w:eastAsia="Times New Roman"/>
          <w:bCs/>
          <w:iCs/>
          <w:lang w:val="sr-Cyrl-CS"/>
        </w:rPr>
        <w:t>2</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sectPr w:rsidR="007B036F" w:rsidSect="00E47C91">
      <w:pgSz w:w="12240" w:h="15840"/>
      <w:pgMar w:top="284"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4D3A1E"/>
    <w:rsid w:val="005E25B6"/>
    <w:rsid w:val="006B2ADB"/>
    <w:rsid w:val="007A61F6"/>
    <w:rsid w:val="007B036F"/>
    <w:rsid w:val="007B780A"/>
    <w:rsid w:val="009F4735"/>
    <w:rsid w:val="00AB2F3D"/>
    <w:rsid w:val="00AF2CA6"/>
    <w:rsid w:val="00B61695"/>
    <w:rsid w:val="00B73DE2"/>
    <w:rsid w:val="00BA4578"/>
    <w:rsid w:val="00BF1DB3"/>
    <w:rsid w:val="00C93FE1"/>
    <w:rsid w:val="00DF7F4F"/>
    <w:rsid w:val="00E47C91"/>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2021-11-22T08:17:00Z</dcterms:created>
  <dcterms:modified xsi:type="dcterms:W3CDTF">2022-11-29T11:48:00Z</dcterms:modified>
</cp:coreProperties>
</file>