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E92" w:rsidRPr="007D425E" w:rsidRDefault="005A2E92" w:rsidP="005A2E92">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6B7D791F" wp14:editId="479C9BF6">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5A2E92" w:rsidRPr="007D425E" w:rsidRDefault="005A2E92" w:rsidP="005A2E92">
      <w:pPr>
        <w:ind w:left="360"/>
        <w:jc w:val="center"/>
        <w:rPr>
          <w:rFonts w:eastAsia="Times New Roman"/>
          <w:b/>
          <w:lang w:val="sr-Cyrl-RS" w:eastAsia="sr-Latn-C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tabs>
          <w:tab w:val="left" w:pos="2250"/>
        </w:tabs>
        <w:suppressAutoHyphens/>
        <w:ind w:left="1080"/>
        <w:rPr>
          <w:rFonts w:eastAsia="Times New Roman"/>
        </w:rPr>
      </w:pPr>
      <w:r w:rsidRPr="007D425E">
        <w:rPr>
          <w:rFonts w:eastAsia="Times New Roman"/>
          <w:b/>
        </w:rPr>
        <w:t xml:space="preserve">                     </w:t>
      </w:r>
    </w:p>
    <w:p w:rsidR="005A2E92" w:rsidRPr="007D425E" w:rsidRDefault="005A2E92" w:rsidP="005A2E92">
      <w:pPr>
        <w:suppressAutoHyphens/>
        <w:ind w:left="-567"/>
        <w:jc w:val="both"/>
        <w:rPr>
          <w:rFonts w:eastAsia="Times New Roman"/>
        </w:rPr>
      </w:pPr>
    </w:p>
    <w:p w:rsidR="005A2E92" w:rsidRPr="007D425E" w:rsidRDefault="005A2E92" w:rsidP="005A2E92">
      <w:pPr>
        <w:suppressAutoHyphens/>
        <w:ind w:left="-567"/>
        <w:jc w:val="both"/>
        <w:rPr>
          <w:rFonts w:eastAsia="Times New Roman"/>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center"/>
        <w:rPr>
          <w:rFonts w:eastAsia="Times New Roman"/>
        </w:rPr>
      </w:pPr>
    </w:p>
    <w:p w:rsidR="005A2E92" w:rsidRPr="000E6468" w:rsidRDefault="005A2E92" w:rsidP="005A2E92">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281CD8">
        <w:rPr>
          <w:rFonts w:eastAsia="Times New Roman"/>
          <w:b/>
          <w:sz w:val="44"/>
          <w:szCs w:val="44"/>
        </w:rPr>
        <w:t>2.2.</w:t>
      </w:r>
      <w:r w:rsidR="009F73FE">
        <w:rPr>
          <w:rFonts w:eastAsia="Times New Roman"/>
          <w:b/>
          <w:sz w:val="44"/>
          <w:szCs w:val="44"/>
        </w:rPr>
        <w:t>106</w:t>
      </w:r>
      <w:r w:rsidR="006D74FF">
        <w:rPr>
          <w:rFonts w:eastAsia="Times New Roman"/>
          <w:b/>
          <w:sz w:val="44"/>
          <w:szCs w:val="44"/>
          <w:lang w:val="sr-Cyrl-RS"/>
        </w:rPr>
        <w:t xml:space="preserve">. </w:t>
      </w:r>
      <w:r w:rsidR="009F73FE">
        <w:rPr>
          <w:rFonts w:eastAsia="Times New Roman"/>
          <w:b/>
          <w:sz w:val="44"/>
          <w:szCs w:val="44"/>
          <w:lang w:val="sr-Cyrl-RS"/>
        </w:rPr>
        <w:t>КАТЕГОРИЗАЦИЈА И ПЕРИОДИЧНА ПРОВЕРА ИСПУШТАЊА КОНТРОЛИСАНИХ СУПСТАНЦИ</w:t>
      </w:r>
    </w:p>
    <w:p w:rsidR="005A2E92" w:rsidRPr="007D425E" w:rsidRDefault="005A2E92" w:rsidP="005A2E92">
      <w:pPr>
        <w:tabs>
          <w:tab w:val="left" w:pos="3915"/>
        </w:tabs>
        <w:suppressAutoHyphens/>
        <w:ind w:left="-567"/>
        <w:jc w:val="both"/>
        <w:rPr>
          <w:rFonts w:eastAsia="Times New Roman"/>
        </w:rPr>
      </w:pPr>
      <w:r w:rsidRPr="007D425E">
        <w:rPr>
          <w:rFonts w:eastAsia="Times New Roman"/>
        </w:rPr>
        <w:tab/>
      </w:r>
    </w:p>
    <w:p w:rsidR="005A2E92" w:rsidRPr="007D425E" w:rsidRDefault="005A2E92" w:rsidP="005A2E92">
      <w:pPr>
        <w:tabs>
          <w:tab w:val="left" w:pos="3915"/>
        </w:tabs>
        <w:suppressAutoHyphens/>
        <w:ind w:left="-567"/>
        <w:jc w:val="both"/>
        <w:rPr>
          <w:rFonts w:eastAsia="Times New Roman"/>
        </w:rPr>
      </w:pPr>
    </w:p>
    <w:p w:rsidR="005A2E92" w:rsidRPr="007D425E" w:rsidRDefault="005A2E92" w:rsidP="005A2E92">
      <w:pPr>
        <w:tabs>
          <w:tab w:val="left" w:pos="5790"/>
        </w:tabs>
        <w:suppressAutoHyphens/>
        <w:ind w:left="-567"/>
        <w:jc w:val="both"/>
        <w:rPr>
          <w:rFonts w:eastAsia="Times New Roman"/>
          <w:u w:val="single"/>
        </w:rPr>
      </w:pPr>
      <w:r w:rsidRPr="007D425E">
        <w:rPr>
          <w:rFonts w:eastAsia="Times New Roman"/>
        </w:rPr>
        <w:tab/>
      </w:r>
    </w:p>
    <w:p w:rsidR="005A2E92" w:rsidRPr="007D425E" w:rsidRDefault="005A2E92" w:rsidP="005A2E92">
      <w:pPr>
        <w:tabs>
          <w:tab w:val="left" w:pos="3645"/>
        </w:tabs>
        <w:suppressAutoHyphens/>
        <w:ind w:left="-567"/>
        <w:jc w:val="both"/>
        <w:rPr>
          <w:rFonts w:eastAsia="Times New Roman"/>
        </w:rPr>
      </w:pPr>
      <w:r w:rsidRPr="007D425E">
        <w:rPr>
          <w:rFonts w:eastAsia="Times New Roman"/>
        </w:rPr>
        <w:tab/>
      </w: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281CD8">
        <w:rPr>
          <w:rFonts w:eastAsia="Times New Roman"/>
          <w:b/>
        </w:rPr>
        <w:t>2.2.</w:t>
      </w:r>
      <w:r w:rsidR="009F73FE">
        <w:rPr>
          <w:rFonts w:eastAsia="Times New Roman"/>
          <w:b/>
          <w:lang w:val="sr-Cyrl-RS"/>
        </w:rPr>
        <w:t>106</w:t>
      </w:r>
      <w:r w:rsidRPr="007D425E">
        <w:rPr>
          <w:rFonts w:eastAsia="Times New Roman"/>
          <w:b/>
          <w:lang w:val="sr-Cyrl-RS"/>
        </w:rPr>
        <w:t xml:space="preserve">. – </w:t>
      </w:r>
    </w:p>
    <w:p w:rsidR="005A2E92" w:rsidRDefault="009F73FE" w:rsidP="005A2E92">
      <w:pPr>
        <w:tabs>
          <w:tab w:val="left" w:pos="3645"/>
        </w:tabs>
        <w:suppressAutoHyphens/>
        <w:ind w:left="-567"/>
        <w:jc w:val="center"/>
        <w:rPr>
          <w:rFonts w:eastAsia="Times New Roman"/>
          <w:b/>
          <w:lang w:val="sr-Cyrl-RS"/>
        </w:rPr>
      </w:pPr>
      <w:r>
        <w:rPr>
          <w:rFonts w:eastAsia="Times New Roman"/>
          <w:b/>
          <w:lang w:val="sr-Cyrl-RS"/>
        </w:rPr>
        <w:t>КАТЕГОРИЗАЦИЈА И ПЕРИОДИЧНА ПРОВЕРА ИСПУШТАЊА КОНТРОЛИСАНИХ СУПСТАНЦИ</w:t>
      </w:r>
    </w:p>
    <w:p w:rsidR="000E78FF" w:rsidRPr="007D425E" w:rsidRDefault="000E78FF" w:rsidP="005A2E92">
      <w:pPr>
        <w:tabs>
          <w:tab w:val="left" w:pos="3645"/>
        </w:tabs>
        <w:suppressAutoHyphens/>
        <w:ind w:left="-567"/>
        <w:jc w:val="center"/>
        <w:rPr>
          <w:rFonts w:eastAsia="Times New Roman"/>
          <w:b/>
          <w:lang w:val="sr-Cyrl-RS"/>
        </w:rPr>
      </w:pPr>
    </w:p>
    <w:tbl>
      <w:tblPr>
        <w:tblW w:w="9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4698"/>
      </w:tblGrid>
      <w:tr w:rsidR="005A2E92" w:rsidRPr="000E78FF" w:rsidTr="000E78FF">
        <w:tc>
          <w:tcPr>
            <w:tcW w:w="4449" w:type="dxa"/>
            <w:shd w:val="clear" w:color="auto" w:fill="auto"/>
            <w:vAlign w:val="center"/>
          </w:tcPr>
          <w:p w:rsidR="005A2E92" w:rsidRDefault="005A2E92" w:rsidP="00EC7A39">
            <w:pPr>
              <w:suppressAutoHyphens/>
              <w:rPr>
                <w:rFonts w:eastAsia="Times New Roman"/>
                <w:lang w:val="sr-Cyrl-RS"/>
              </w:rPr>
            </w:pPr>
          </w:p>
          <w:p w:rsidR="005A2E92" w:rsidRPr="007D425E" w:rsidRDefault="005A2E92" w:rsidP="00EC7A39">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ПИБ</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rsidR="005A2E92" w:rsidRPr="007D425E" w:rsidRDefault="005A2E92" w:rsidP="00EC7A39">
            <w:pPr>
              <w:suppressAutoHyphens/>
              <w:jc w:val="both"/>
              <w:rPr>
                <w:rFonts w:eastAsia="Times New Roman"/>
                <w:lang w:val="sr-Cyrl-RS"/>
              </w:rPr>
            </w:pPr>
          </w:p>
        </w:tc>
      </w:tr>
    </w:tbl>
    <w:p w:rsidR="009D2611" w:rsidRPr="007D425E" w:rsidRDefault="009D2611" w:rsidP="005A2E92">
      <w:pPr>
        <w:suppressAutoHyphens/>
        <w:ind w:left="-567" w:right="288"/>
        <w:rPr>
          <w:rFonts w:eastAsia="Times New Roman"/>
          <w:lang w:val="sr-Cyrl-RS"/>
        </w:rPr>
      </w:pPr>
    </w:p>
    <w:p w:rsidR="005A2E92" w:rsidRDefault="005A2E92" w:rsidP="005A2E92">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rsidR="00857D63" w:rsidRPr="007D425E" w:rsidRDefault="00857D63" w:rsidP="005A2E92">
      <w:pPr>
        <w:suppressAutoHyphens/>
        <w:ind w:right="-1"/>
        <w:jc w:val="center"/>
        <w:rPr>
          <w:rFonts w:eastAsia="Times New Roman"/>
          <w:b/>
          <w:lang w:val="sr-Cyrl-RS" w:eastAsia="ar-SA"/>
        </w:rPr>
      </w:pPr>
    </w:p>
    <w:p w:rsidR="005A2E92" w:rsidRPr="007D425E" w:rsidRDefault="005A2E92" w:rsidP="005A2E92">
      <w:pPr>
        <w:tabs>
          <w:tab w:val="left" w:pos="-426"/>
        </w:tabs>
        <w:suppressAutoHyphens/>
        <w:ind w:left="-709" w:right="-1"/>
        <w:jc w:val="both"/>
        <w:rPr>
          <w:rFonts w:eastAsia="Times New Roman"/>
          <w:b/>
          <w:lang w:val="sr-Cyrl-RS" w:eastAsia="ar-SA"/>
        </w:rPr>
      </w:pPr>
    </w:p>
    <w:tbl>
      <w:tblPr>
        <w:tblW w:w="11165" w:type="dxa"/>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3650"/>
        <w:gridCol w:w="1350"/>
        <w:gridCol w:w="1542"/>
        <w:gridCol w:w="1714"/>
        <w:gridCol w:w="2027"/>
      </w:tblGrid>
      <w:tr w:rsidR="009F73FE" w:rsidRPr="007D425E" w:rsidTr="009F73FE">
        <w:trPr>
          <w:jc w:val="center"/>
        </w:trPr>
        <w:tc>
          <w:tcPr>
            <w:tcW w:w="882" w:type="dxa"/>
          </w:tcPr>
          <w:p w:rsidR="009F73FE" w:rsidRPr="007D425E" w:rsidRDefault="009F73FE" w:rsidP="00EC7A39">
            <w:pPr>
              <w:jc w:val="center"/>
              <w:rPr>
                <w:b/>
                <w:i/>
              </w:rPr>
            </w:pPr>
            <w:r w:rsidRPr="007D425E">
              <w:rPr>
                <w:b/>
                <w:i/>
              </w:rPr>
              <w:t>Рб.</w:t>
            </w:r>
          </w:p>
        </w:tc>
        <w:tc>
          <w:tcPr>
            <w:tcW w:w="3650" w:type="dxa"/>
          </w:tcPr>
          <w:p w:rsidR="009F73FE" w:rsidRDefault="009F73FE" w:rsidP="00EC7A39">
            <w:pPr>
              <w:jc w:val="center"/>
              <w:rPr>
                <w:b/>
                <w:i/>
                <w:lang w:val="sr-Cyrl-RS"/>
              </w:rPr>
            </w:pPr>
            <w:r>
              <w:rPr>
                <w:b/>
                <w:i/>
                <w:lang w:val="sr-Cyrl-RS"/>
              </w:rPr>
              <w:t>Опис услуге</w:t>
            </w:r>
          </w:p>
          <w:p w:rsidR="009F73FE" w:rsidRPr="005A2E92" w:rsidRDefault="009F73FE" w:rsidP="00EC7A39">
            <w:pPr>
              <w:jc w:val="center"/>
              <w:rPr>
                <w:b/>
                <w:i/>
                <w:lang w:val="sr-Cyrl-RS"/>
              </w:rPr>
            </w:pPr>
            <w:r>
              <w:rPr>
                <w:b/>
                <w:i/>
                <w:lang w:val="sr-Cyrl-RS"/>
              </w:rPr>
              <w:t>(редован шестомесечни преглед расхладних уређаја на неконтролисано испуштање фреона)</w:t>
            </w:r>
          </w:p>
        </w:tc>
        <w:tc>
          <w:tcPr>
            <w:tcW w:w="1350" w:type="dxa"/>
          </w:tcPr>
          <w:p w:rsidR="009F73FE" w:rsidRPr="005A2E92" w:rsidRDefault="009F73FE" w:rsidP="00EC7A39">
            <w:pPr>
              <w:jc w:val="center"/>
              <w:rPr>
                <w:b/>
                <w:i/>
                <w:lang w:val="sr-Cyrl-RS"/>
              </w:rPr>
            </w:pPr>
            <w:r>
              <w:rPr>
                <w:b/>
                <w:i/>
                <w:lang w:val="sr-Cyrl-RS"/>
              </w:rPr>
              <w:t xml:space="preserve">Јединица мере – број уређаја </w:t>
            </w:r>
          </w:p>
        </w:tc>
        <w:tc>
          <w:tcPr>
            <w:tcW w:w="1542" w:type="dxa"/>
          </w:tcPr>
          <w:p w:rsidR="009F73FE" w:rsidRPr="009F73FE" w:rsidRDefault="009F73FE" w:rsidP="00EC7A39">
            <w:pPr>
              <w:jc w:val="center"/>
              <w:rPr>
                <w:b/>
                <w:i/>
                <w:lang w:val="sr-Cyrl-RS"/>
              </w:rPr>
            </w:pPr>
            <w:r>
              <w:rPr>
                <w:b/>
                <w:i/>
                <w:lang w:val="sr-Cyrl-RS"/>
              </w:rPr>
              <w:t>Количина</w:t>
            </w:r>
          </w:p>
        </w:tc>
        <w:tc>
          <w:tcPr>
            <w:tcW w:w="1714" w:type="dxa"/>
          </w:tcPr>
          <w:p w:rsidR="009F73FE" w:rsidRPr="005A2E92" w:rsidRDefault="009F73FE" w:rsidP="00EC7A39">
            <w:pPr>
              <w:jc w:val="center"/>
              <w:rPr>
                <w:b/>
                <w:i/>
                <w:lang w:val="sr-Cyrl-RS"/>
              </w:rPr>
            </w:pPr>
            <w:r w:rsidRPr="007D425E">
              <w:rPr>
                <w:b/>
                <w:i/>
              </w:rPr>
              <w:t>Јединич. цена без ПДВ</w:t>
            </w:r>
          </w:p>
        </w:tc>
        <w:tc>
          <w:tcPr>
            <w:tcW w:w="2027" w:type="dxa"/>
          </w:tcPr>
          <w:p w:rsidR="009F73FE" w:rsidRPr="007D425E" w:rsidRDefault="009F73FE" w:rsidP="009F73FE">
            <w:pPr>
              <w:jc w:val="center"/>
              <w:rPr>
                <w:b/>
                <w:i/>
              </w:rPr>
            </w:pPr>
            <w:r w:rsidRPr="007D425E">
              <w:rPr>
                <w:b/>
                <w:i/>
              </w:rPr>
              <w:t>Укупно без ПДВ-а</w:t>
            </w:r>
          </w:p>
          <w:p w:rsidR="009F73FE" w:rsidRPr="007D425E" w:rsidRDefault="009F73FE" w:rsidP="009F73FE">
            <w:pPr>
              <w:jc w:val="center"/>
              <w:rPr>
                <w:b/>
                <w:i/>
              </w:rPr>
            </w:pPr>
            <w:r>
              <w:rPr>
                <w:b/>
                <w:i/>
                <w:lang w:val="sr-Cyrl-RS"/>
              </w:rPr>
              <w:t>4</w:t>
            </w:r>
            <w:r>
              <w:rPr>
                <w:b/>
                <w:i/>
              </w:rPr>
              <w:t>x</w:t>
            </w:r>
            <w:r>
              <w:rPr>
                <w:b/>
                <w:i/>
                <w:lang w:val="sr-Cyrl-RS"/>
              </w:rPr>
              <w:t>5</w:t>
            </w:r>
          </w:p>
        </w:tc>
      </w:tr>
      <w:tr w:rsidR="009F73FE" w:rsidRPr="007D425E" w:rsidTr="009F73FE">
        <w:trPr>
          <w:jc w:val="center"/>
        </w:trPr>
        <w:tc>
          <w:tcPr>
            <w:tcW w:w="882" w:type="dxa"/>
          </w:tcPr>
          <w:p w:rsidR="009F73FE" w:rsidRPr="007D425E" w:rsidRDefault="009F73FE" w:rsidP="00EC7A39">
            <w:pPr>
              <w:jc w:val="center"/>
              <w:rPr>
                <w:b/>
                <w:i/>
              </w:rPr>
            </w:pPr>
            <w:r w:rsidRPr="007D425E">
              <w:rPr>
                <w:b/>
                <w:i/>
              </w:rPr>
              <w:t>1</w:t>
            </w:r>
          </w:p>
        </w:tc>
        <w:tc>
          <w:tcPr>
            <w:tcW w:w="3650" w:type="dxa"/>
          </w:tcPr>
          <w:p w:rsidR="009F73FE" w:rsidRPr="007D425E" w:rsidRDefault="009F73FE" w:rsidP="00EC7A39">
            <w:pPr>
              <w:jc w:val="center"/>
              <w:rPr>
                <w:b/>
                <w:i/>
              </w:rPr>
            </w:pPr>
            <w:r w:rsidRPr="007D425E">
              <w:rPr>
                <w:b/>
                <w:i/>
              </w:rPr>
              <w:t>2</w:t>
            </w:r>
          </w:p>
        </w:tc>
        <w:tc>
          <w:tcPr>
            <w:tcW w:w="1350" w:type="dxa"/>
          </w:tcPr>
          <w:p w:rsidR="009F73FE" w:rsidRPr="007D425E" w:rsidRDefault="009F73FE" w:rsidP="00EC7A39">
            <w:pPr>
              <w:jc w:val="center"/>
              <w:rPr>
                <w:b/>
                <w:i/>
              </w:rPr>
            </w:pPr>
            <w:r w:rsidRPr="007D425E">
              <w:rPr>
                <w:b/>
                <w:i/>
              </w:rPr>
              <w:t>3</w:t>
            </w:r>
          </w:p>
        </w:tc>
        <w:tc>
          <w:tcPr>
            <w:tcW w:w="1542" w:type="dxa"/>
          </w:tcPr>
          <w:p w:rsidR="009F73FE" w:rsidRPr="005A2E92" w:rsidRDefault="009F73FE" w:rsidP="00EC7A39">
            <w:pPr>
              <w:jc w:val="center"/>
              <w:rPr>
                <w:b/>
                <w:i/>
                <w:lang w:val="sr-Cyrl-RS"/>
              </w:rPr>
            </w:pPr>
            <w:r>
              <w:rPr>
                <w:b/>
                <w:i/>
                <w:lang w:val="sr-Cyrl-RS"/>
              </w:rPr>
              <w:t>4</w:t>
            </w:r>
          </w:p>
        </w:tc>
        <w:tc>
          <w:tcPr>
            <w:tcW w:w="1714" w:type="dxa"/>
          </w:tcPr>
          <w:p w:rsidR="009F73FE" w:rsidRPr="005A2E92" w:rsidRDefault="009F73FE" w:rsidP="00EC7A39">
            <w:pPr>
              <w:jc w:val="center"/>
              <w:rPr>
                <w:b/>
                <w:i/>
                <w:lang w:val="sr-Cyrl-RS"/>
              </w:rPr>
            </w:pPr>
            <w:r>
              <w:rPr>
                <w:b/>
                <w:i/>
                <w:lang w:val="sr-Cyrl-RS"/>
              </w:rPr>
              <w:t>5</w:t>
            </w:r>
          </w:p>
        </w:tc>
        <w:tc>
          <w:tcPr>
            <w:tcW w:w="2027" w:type="dxa"/>
          </w:tcPr>
          <w:p w:rsidR="009F73FE" w:rsidRDefault="009F73FE" w:rsidP="00EC7A39">
            <w:pPr>
              <w:jc w:val="center"/>
              <w:rPr>
                <w:b/>
                <w:i/>
                <w:lang w:val="sr-Cyrl-RS"/>
              </w:rPr>
            </w:pPr>
            <w:r>
              <w:rPr>
                <w:b/>
                <w:i/>
                <w:lang w:val="sr-Cyrl-RS"/>
              </w:rPr>
              <w:t>6</w:t>
            </w:r>
          </w:p>
        </w:tc>
      </w:tr>
      <w:tr w:rsidR="009F73FE" w:rsidRPr="007D425E" w:rsidTr="009F73FE">
        <w:trPr>
          <w:jc w:val="center"/>
        </w:trPr>
        <w:tc>
          <w:tcPr>
            <w:tcW w:w="882" w:type="dxa"/>
          </w:tcPr>
          <w:p w:rsidR="009F73FE" w:rsidRPr="007D425E" w:rsidRDefault="009F73FE" w:rsidP="00EC7A39">
            <w:r w:rsidRPr="007D425E">
              <w:t xml:space="preserve">1. </w:t>
            </w:r>
          </w:p>
        </w:tc>
        <w:tc>
          <w:tcPr>
            <w:tcW w:w="3650" w:type="dxa"/>
          </w:tcPr>
          <w:p w:rsidR="009F73FE" w:rsidRPr="00821497" w:rsidRDefault="009F73FE" w:rsidP="00EC7A39">
            <w:pPr>
              <w:rPr>
                <w:lang w:val="sr-Cyrl-RS"/>
              </w:rPr>
            </w:pPr>
            <w:r>
              <w:rPr>
                <w:lang w:val="sr-Cyrl-RS"/>
              </w:rPr>
              <w:t>Прибављање података о врсти расхладног флуида и утврђивање максималне количине контролисаних супстанци (категоризација)</w:t>
            </w:r>
          </w:p>
        </w:tc>
        <w:tc>
          <w:tcPr>
            <w:tcW w:w="1350" w:type="dxa"/>
          </w:tcPr>
          <w:p w:rsidR="009F73FE" w:rsidRDefault="009F73FE" w:rsidP="00281CD8">
            <w:pPr>
              <w:jc w:val="center"/>
              <w:rPr>
                <w:lang w:val="sr-Cyrl-RS"/>
              </w:rPr>
            </w:pPr>
          </w:p>
          <w:p w:rsidR="009F73FE" w:rsidRDefault="009F73FE" w:rsidP="00281CD8">
            <w:pPr>
              <w:jc w:val="center"/>
              <w:rPr>
                <w:lang w:val="sr-Cyrl-RS"/>
              </w:rPr>
            </w:pPr>
          </w:p>
          <w:p w:rsidR="009F73FE" w:rsidRPr="009F73FE" w:rsidRDefault="009F73FE" w:rsidP="00281CD8">
            <w:pPr>
              <w:jc w:val="center"/>
              <w:rPr>
                <w:lang w:val="sr-Cyrl-RS"/>
              </w:rPr>
            </w:pPr>
            <w:r>
              <w:rPr>
                <w:lang w:val="sr-Cyrl-RS"/>
              </w:rPr>
              <w:t>ком</w:t>
            </w:r>
          </w:p>
        </w:tc>
        <w:tc>
          <w:tcPr>
            <w:tcW w:w="1542" w:type="dxa"/>
          </w:tcPr>
          <w:p w:rsidR="009F73FE" w:rsidRDefault="009F73FE" w:rsidP="00EC7A39">
            <w:pPr>
              <w:jc w:val="center"/>
              <w:rPr>
                <w:lang w:val="sr-Cyrl-RS"/>
              </w:rPr>
            </w:pPr>
          </w:p>
          <w:p w:rsidR="009F73FE" w:rsidRDefault="009F73FE" w:rsidP="00EC7A39">
            <w:pPr>
              <w:jc w:val="center"/>
              <w:rPr>
                <w:lang w:val="sr-Cyrl-RS"/>
              </w:rPr>
            </w:pPr>
          </w:p>
          <w:p w:rsidR="009F73FE" w:rsidRPr="009F73FE" w:rsidRDefault="009F73FE" w:rsidP="00EC7A39">
            <w:pPr>
              <w:jc w:val="center"/>
              <w:rPr>
                <w:lang w:val="sr-Cyrl-RS"/>
              </w:rPr>
            </w:pPr>
            <w:r>
              <w:rPr>
                <w:lang w:val="sr-Cyrl-RS"/>
              </w:rPr>
              <w:t>45</w:t>
            </w:r>
          </w:p>
        </w:tc>
        <w:tc>
          <w:tcPr>
            <w:tcW w:w="1714" w:type="dxa"/>
          </w:tcPr>
          <w:p w:rsidR="009F73FE" w:rsidRPr="007D425E" w:rsidRDefault="009F73FE" w:rsidP="00EC7A39">
            <w:pPr>
              <w:jc w:val="center"/>
            </w:pPr>
          </w:p>
        </w:tc>
        <w:tc>
          <w:tcPr>
            <w:tcW w:w="2027" w:type="dxa"/>
          </w:tcPr>
          <w:p w:rsidR="009F73FE" w:rsidRPr="007D425E" w:rsidRDefault="009F73FE" w:rsidP="00EC7A39">
            <w:pPr>
              <w:jc w:val="center"/>
            </w:pPr>
          </w:p>
        </w:tc>
      </w:tr>
      <w:tr w:rsidR="009F73FE" w:rsidRPr="007D425E" w:rsidTr="009F73FE">
        <w:trPr>
          <w:jc w:val="center"/>
        </w:trPr>
        <w:tc>
          <w:tcPr>
            <w:tcW w:w="882" w:type="dxa"/>
          </w:tcPr>
          <w:p w:rsidR="009F73FE" w:rsidRPr="007D425E" w:rsidRDefault="009F73FE" w:rsidP="00EC7A39">
            <w:r w:rsidRPr="007D425E">
              <w:t>2.</w:t>
            </w:r>
          </w:p>
        </w:tc>
        <w:tc>
          <w:tcPr>
            <w:tcW w:w="3650" w:type="dxa"/>
          </w:tcPr>
          <w:p w:rsidR="009F73FE" w:rsidRPr="00821497" w:rsidRDefault="009F73FE" w:rsidP="00EC7A39">
            <w:pPr>
              <w:rPr>
                <w:lang w:val="sr-Cyrl-RS"/>
              </w:rPr>
            </w:pPr>
            <w:r>
              <w:rPr>
                <w:lang w:val="sr-Cyrl-RS"/>
              </w:rPr>
              <w:t>Климе (12-тице, 18-тице и 24-тице)</w:t>
            </w:r>
          </w:p>
        </w:tc>
        <w:tc>
          <w:tcPr>
            <w:tcW w:w="1350" w:type="dxa"/>
          </w:tcPr>
          <w:p w:rsidR="009F73FE" w:rsidRPr="005A2E92" w:rsidRDefault="009F73FE" w:rsidP="00281CD8">
            <w:pPr>
              <w:jc w:val="center"/>
              <w:rPr>
                <w:lang w:val="sr-Cyrl-RS"/>
              </w:rPr>
            </w:pPr>
            <w:r>
              <w:rPr>
                <w:lang w:val="sr-Cyrl-RS"/>
              </w:rPr>
              <w:t>ком</w:t>
            </w:r>
          </w:p>
        </w:tc>
        <w:tc>
          <w:tcPr>
            <w:tcW w:w="1542" w:type="dxa"/>
          </w:tcPr>
          <w:p w:rsidR="009F73FE" w:rsidRPr="009F73FE" w:rsidRDefault="009F73FE" w:rsidP="00EC7A39">
            <w:pPr>
              <w:jc w:val="center"/>
              <w:rPr>
                <w:lang w:val="sr-Cyrl-RS"/>
              </w:rPr>
            </w:pPr>
            <w:r>
              <w:rPr>
                <w:lang w:val="sr-Cyrl-RS"/>
              </w:rPr>
              <w:t>18</w:t>
            </w:r>
          </w:p>
        </w:tc>
        <w:tc>
          <w:tcPr>
            <w:tcW w:w="1714" w:type="dxa"/>
          </w:tcPr>
          <w:p w:rsidR="009F73FE" w:rsidRPr="007D425E" w:rsidRDefault="009F73FE" w:rsidP="00EC7A39">
            <w:pPr>
              <w:jc w:val="center"/>
            </w:pPr>
          </w:p>
        </w:tc>
        <w:tc>
          <w:tcPr>
            <w:tcW w:w="2027" w:type="dxa"/>
          </w:tcPr>
          <w:p w:rsidR="009F73FE" w:rsidRPr="007D425E" w:rsidRDefault="009F73FE" w:rsidP="00EC7A39">
            <w:pPr>
              <w:jc w:val="center"/>
            </w:pPr>
          </w:p>
        </w:tc>
      </w:tr>
      <w:tr w:rsidR="009F73FE" w:rsidRPr="007D425E" w:rsidTr="009F73FE">
        <w:trPr>
          <w:jc w:val="center"/>
        </w:trPr>
        <w:tc>
          <w:tcPr>
            <w:tcW w:w="882" w:type="dxa"/>
          </w:tcPr>
          <w:p w:rsidR="009F73FE" w:rsidRPr="007D425E" w:rsidRDefault="009F73FE" w:rsidP="00EC7A39">
            <w:r>
              <w:rPr>
                <w:lang w:val="sr-Cyrl-RS"/>
              </w:rPr>
              <w:t>3</w:t>
            </w:r>
            <w:r w:rsidRPr="007D425E">
              <w:t>.</w:t>
            </w:r>
          </w:p>
        </w:tc>
        <w:tc>
          <w:tcPr>
            <w:tcW w:w="3650" w:type="dxa"/>
          </w:tcPr>
          <w:p w:rsidR="009F73FE" w:rsidRPr="005A2E92" w:rsidRDefault="009F73FE" w:rsidP="00281CD8">
            <w:pPr>
              <w:rPr>
                <w:lang w:val="sr-Cyrl-RS"/>
              </w:rPr>
            </w:pPr>
            <w:r>
              <w:rPr>
                <w:lang w:val="sr-Cyrl-RS"/>
              </w:rPr>
              <w:t>Фрижидери (од 600л. и 1.200л)</w:t>
            </w:r>
          </w:p>
        </w:tc>
        <w:tc>
          <w:tcPr>
            <w:tcW w:w="1350" w:type="dxa"/>
          </w:tcPr>
          <w:p w:rsidR="009F73FE" w:rsidRPr="005A2E92" w:rsidRDefault="009F73FE" w:rsidP="00EC7A39">
            <w:pPr>
              <w:jc w:val="center"/>
              <w:rPr>
                <w:lang w:val="sr-Cyrl-RS"/>
              </w:rPr>
            </w:pPr>
            <w:r>
              <w:rPr>
                <w:lang w:val="sr-Cyrl-RS"/>
              </w:rPr>
              <w:t>ком</w:t>
            </w:r>
          </w:p>
        </w:tc>
        <w:tc>
          <w:tcPr>
            <w:tcW w:w="1542" w:type="dxa"/>
          </w:tcPr>
          <w:p w:rsidR="009F73FE" w:rsidRDefault="009F73FE" w:rsidP="00EC7A39">
            <w:pPr>
              <w:jc w:val="center"/>
              <w:rPr>
                <w:lang w:val="sr-Cyrl-RS"/>
              </w:rPr>
            </w:pPr>
            <w:r>
              <w:rPr>
                <w:lang w:val="sr-Cyrl-RS"/>
              </w:rPr>
              <w:t>16</w:t>
            </w:r>
          </w:p>
          <w:p w:rsidR="00857D63" w:rsidRPr="009F73FE" w:rsidRDefault="00857D63" w:rsidP="00EC7A39">
            <w:pPr>
              <w:jc w:val="center"/>
              <w:rPr>
                <w:lang w:val="sr-Cyrl-RS"/>
              </w:rPr>
            </w:pPr>
          </w:p>
        </w:tc>
        <w:tc>
          <w:tcPr>
            <w:tcW w:w="1714" w:type="dxa"/>
          </w:tcPr>
          <w:p w:rsidR="009F73FE" w:rsidRPr="007D425E" w:rsidRDefault="009F73FE" w:rsidP="00EC7A39">
            <w:pPr>
              <w:jc w:val="center"/>
            </w:pPr>
          </w:p>
        </w:tc>
        <w:tc>
          <w:tcPr>
            <w:tcW w:w="2027" w:type="dxa"/>
          </w:tcPr>
          <w:p w:rsidR="009F73FE" w:rsidRPr="007D425E" w:rsidRDefault="009F73FE" w:rsidP="00EC7A39">
            <w:pPr>
              <w:jc w:val="center"/>
            </w:pPr>
          </w:p>
        </w:tc>
      </w:tr>
      <w:tr w:rsidR="009F73FE" w:rsidRPr="007D425E" w:rsidTr="009F73FE">
        <w:trPr>
          <w:jc w:val="center"/>
        </w:trPr>
        <w:tc>
          <w:tcPr>
            <w:tcW w:w="882" w:type="dxa"/>
          </w:tcPr>
          <w:p w:rsidR="009F73FE" w:rsidRPr="007D425E" w:rsidRDefault="009F73FE" w:rsidP="00EC7A39">
            <w:r>
              <w:rPr>
                <w:lang w:val="sr-Cyrl-RS"/>
              </w:rPr>
              <w:t>4</w:t>
            </w:r>
            <w:r w:rsidRPr="007D425E">
              <w:t>.</w:t>
            </w:r>
          </w:p>
        </w:tc>
        <w:tc>
          <w:tcPr>
            <w:tcW w:w="3650" w:type="dxa"/>
          </w:tcPr>
          <w:p w:rsidR="009F73FE" w:rsidRPr="00821497" w:rsidRDefault="009F73FE" w:rsidP="00281CD8">
            <w:pPr>
              <w:rPr>
                <w:lang w:val="sr-Cyrl-RS"/>
              </w:rPr>
            </w:pPr>
            <w:r>
              <w:rPr>
                <w:lang w:val="sr-Cyrl-RS"/>
              </w:rPr>
              <w:t>Замрзивачи (1.200л.)</w:t>
            </w:r>
          </w:p>
        </w:tc>
        <w:tc>
          <w:tcPr>
            <w:tcW w:w="1350" w:type="dxa"/>
          </w:tcPr>
          <w:p w:rsidR="009F73FE" w:rsidRPr="005A2E92" w:rsidRDefault="009F73FE" w:rsidP="00EC7A39">
            <w:pPr>
              <w:jc w:val="center"/>
              <w:rPr>
                <w:lang w:val="sr-Cyrl-RS"/>
              </w:rPr>
            </w:pPr>
            <w:r>
              <w:rPr>
                <w:lang w:val="sr-Cyrl-RS"/>
              </w:rPr>
              <w:t>ком</w:t>
            </w:r>
          </w:p>
        </w:tc>
        <w:tc>
          <w:tcPr>
            <w:tcW w:w="1542" w:type="dxa"/>
          </w:tcPr>
          <w:p w:rsidR="009F73FE" w:rsidRDefault="009F73FE" w:rsidP="00EC7A39">
            <w:pPr>
              <w:jc w:val="center"/>
              <w:rPr>
                <w:lang w:val="sr-Cyrl-RS"/>
              </w:rPr>
            </w:pPr>
            <w:r>
              <w:rPr>
                <w:lang w:val="sr-Cyrl-RS"/>
              </w:rPr>
              <w:t>5</w:t>
            </w:r>
          </w:p>
          <w:p w:rsidR="00857D63" w:rsidRPr="009F73FE" w:rsidRDefault="00857D63" w:rsidP="00EC7A39">
            <w:pPr>
              <w:jc w:val="center"/>
              <w:rPr>
                <w:lang w:val="sr-Cyrl-RS"/>
              </w:rPr>
            </w:pPr>
          </w:p>
        </w:tc>
        <w:tc>
          <w:tcPr>
            <w:tcW w:w="1714" w:type="dxa"/>
          </w:tcPr>
          <w:p w:rsidR="009F73FE" w:rsidRPr="007D425E" w:rsidRDefault="009F73FE" w:rsidP="00EC7A39">
            <w:pPr>
              <w:jc w:val="center"/>
            </w:pPr>
          </w:p>
        </w:tc>
        <w:tc>
          <w:tcPr>
            <w:tcW w:w="2027" w:type="dxa"/>
          </w:tcPr>
          <w:p w:rsidR="009F73FE" w:rsidRPr="007D425E" w:rsidRDefault="009F73FE" w:rsidP="00EC7A39">
            <w:pPr>
              <w:jc w:val="center"/>
            </w:pPr>
          </w:p>
        </w:tc>
      </w:tr>
      <w:tr w:rsidR="009F73FE" w:rsidRPr="007D425E" w:rsidTr="009F73FE">
        <w:trPr>
          <w:jc w:val="center"/>
        </w:trPr>
        <w:tc>
          <w:tcPr>
            <w:tcW w:w="882" w:type="dxa"/>
          </w:tcPr>
          <w:p w:rsidR="009F73FE" w:rsidRDefault="009F73FE" w:rsidP="00EC7A39">
            <w:pPr>
              <w:rPr>
                <w:lang w:val="sr-Cyrl-RS"/>
              </w:rPr>
            </w:pPr>
            <w:r>
              <w:rPr>
                <w:lang w:val="sr-Cyrl-RS"/>
              </w:rPr>
              <w:t>5.</w:t>
            </w:r>
          </w:p>
        </w:tc>
        <w:tc>
          <w:tcPr>
            <w:tcW w:w="3650" w:type="dxa"/>
          </w:tcPr>
          <w:p w:rsidR="009F73FE" w:rsidRPr="009F73FE" w:rsidRDefault="009F73FE" w:rsidP="00281CD8">
            <w:pPr>
              <w:rPr>
                <w:vertAlign w:val="superscript"/>
                <w:lang w:val="sr-Cyrl-RS"/>
              </w:rPr>
            </w:pPr>
            <w:r>
              <w:rPr>
                <w:lang w:val="sr-Cyrl-RS"/>
              </w:rPr>
              <w:t>Коморе (плусне) капацитета 15м</w:t>
            </w:r>
            <w:r>
              <w:rPr>
                <w:vertAlign w:val="superscript"/>
                <w:lang w:val="sr-Cyrl-RS"/>
              </w:rPr>
              <w:t>3</w:t>
            </w:r>
          </w:p>
        </w:tc>
        <w:tc>
          <w:tcPr>
            <w:tcW w:w="1350" w:type="dxa"/>
          </w:tcPr>
          <w:p w:rsidR="009F73FE" w:rsidRDefault="009F73FE" w:rsidP="00EC7A39">
            <w:pPr>
              <w:jc w:val="center"/>
              <w:rPr>
                <w:lang w:val="sr-Cyrl-RS"/>
              </w:rPr>
            </w:pPr>
            <w:r>
              <w:rPr>
                <w:lang w:val="sr-Cyrl-RS"/>
              </w:rPr>
              <w:t>ком</w:t>
            </w:r>
          </w:p>
        </w:tc>
        <w:tc>
          <w:tcPr>
            <w:tcW w:w="1542" w:type="dxa"/>
          </w:tcPr>
          <w:p w:rsidR="009F73FE" w:rsidRDefault="009F73FE" w:rsidP="00EC7A39">
            <w:pPr>
              <w:jc w:val="center"/>
              <w:rPr>
                <w:lang w:val="sr-Cyrl-RS"/>
              </w:rPr>
            </w:pPr>
            <w:r>
              <w:rPr>
                <w:lang w:val="sr-Cyrl-RS"/>
              </w:rPr>
              <w:t>4</w:t>
            </w:r>
          </w:p>
        </w:tc>
        <w:tc>
          <w:tcPr>
            <w:tcW w:w="1714" w:type="dxa"/>
          </w:tcPr>
          <w:p w:rsidR="009F73FE" w:rsidRPr="007D425E" w:rsidRDefault="009F73FE" w:rsidP="00EC7A39">
            <w:pPr>
              <w:jc w:val="center"/>
            </w:pPr>
          </w:p>
        </w:tc>
        <w:tc>
          <w:tcPr>
            <w:tcW w:w="2027" w:type="dxa"/>
          </w:tcPr>
          <w:p w:rsidR="009F73FE" w:rsidRPr="007D425E" w:rsidRDefault="009F73FE" w:rsidP="00EC7A39">
            <w:pPr>
              <w:jc w:val="center"/>
            </w:pPr>
          </w:p>
        </w:tc>
      </w:tr>
      <w:tr w:rsidR="009F73FE" w:rsidRPr="007D425E" w:rsidTr="009F73FE">
        <w:trPr>
          <w:jc w:val="center"/>
        </w:trPr>
        <w:tc>
          <w:tcPr>
            <w:tcW w:w="882" w:type="dxa"/>
          </w:tcPr>
          <w:p w:rsidR="009F73FE" w:rsidRDefault="009F73FE" w:rsidP="00EC7A39">
            <w:pPr>
              <w:rPr>
                <w:lang w:val="sr-Cyrl-RS"/>
              </w:rPr>
            </w:pPr>
            <w:r>
              <w:rPr>
                <w:lang w:val="sr-Cyrl-RS"/>
              </w:rPr>
              <w:t>6.</w:t>
            </w:r>
          </w:p>
        </w:tc>
        <w:tc>
          <w:tcPr>
            <w:tcW w:w="3650" w:type="dxa"/>
          </w:tcPr>
          <w:p w:rsidR="009F73FE" w:rsidRDefault="00857D63" w:rsidP="00857D63">
            <w:pPr>
              <w:rPr>
                <w:lang w:val="sr-Cyrl-RS"/>
              </w:rPr>
            </w:pPr>
            <w:r>
              <w:rPr>
                <w:lang w:val="sr-Cyrl-RS"/>
              </w:rPr>
              <w:t xml:space="preserve">Коморе (шок и минусне) капацитета </w:t>
            </w:r>
            <w:r>
              <w:rPr>
                <w:lang w:val="sr-Cyrl-RS"/>
              </w:rPr>
              <w:t>1</w:t>
            </w:r>
            <w:r>
              <w:rPr>
                <w:lang w:val="sr-Cyrl-RS"/>
              </w:rPr>
              <w:t>2</w:t>
            </w:r>
            <w:r>
              <w:rPr>
                <w:lang w:val="sr-Cyrl-RS"/>
              </w:rPr>
              <w:t>м</w:t>
            </w:r>
            <w:r>
              <w:rPr>
                <w:vertAlign w:val="superscript"/>
                <w:lang w:val="sr-Cyrl-RS"/>
              </w:rPr>
              <w:t>3</w:t>
            </w:r>
          </w:p>
        </w:tc>
        <w:tc>
          <w:tcPr>
            <w:tcW w:w="1350" w:type="dxa"/>
          </w:tcPr>
          <w:p w:rsidR="009F73FE" w:rsidRDefault="00857D63" w:rsidP="00EC7A39">
            <w:pPr>
              <w:jc w:val="center"/>
              <w:rPr>
                <w:lang w:val="sr-Cyrl-RS"/>
              </w:rPr>
            </w:pPr>
            <w:r>
              <w:rPr>
                <w:lang w:val="sr-Cyrl-RS"/>
              </w:rPr>
              <w:t>ком</w:t>
            </w:r>
          </w:p>
        </w:tc>
        <w:tc>
          <w:tcPr>
            <w:tcW w:w="1542" w:type="dxa"/>
          </w:tcPr>
          <w:p w:rsidR="009F73FE" w:rsidRDefault="00857D63" w:rsidP="00EC7A39">
            <w:pPr>
              <w:jc w:val="center"/>
              <w:rPr>
                <w:lang w:val="sr-Cyrl-RS"/>
              </w:rPr>
            </w:pPr>
            <w:r>
              <w:rPr>
                <w:lang w:val="sr-Cyrl-RS"/>
              </w:rPr>
              <w:t>2</w:t>
            </w:r>
          </w:p>
        </w:tc>
        <w:tc>
          <w:tcPr>
            <w:tcW w:w="1714" w:type="dxa"/>
          </w:tcPr>
          <w:p w:rsidR="009F73FE" w:rsidRPr="007D425E" w:rsidRDefault="009F73FE" w:rsidP="00EC7A39">
            <w:pPr>
              <w:jc w:val="center"/>
            </w:pPr>
          </w:p>
        </w:tc>
        <w:tc>
          <w:tcPr>
            <w:tcW w:w="2027" w:type="dxa"/>
          </w:tcPr>
          <w:p w:rsidR="009F73FE" w:rsidRPr="007D425E" w:rsidRDefault="009F73FE" w:rsidP="00EC7A39">
            <w:pPr>
              <w:jc w:val="center"/>
            </w:pPr>
          </w:p>
        </w:tc>
      </w:tr>
      <w:tr w:rsidR="00857D63" w:rsidRPr="007D425E" w:rsidTr="009F73FE">
        <w:trPr>
          <w:jc w:val="center"/>
        </w:trPr>
        <w:tc>
          <w:tcPr>
            <w:tcW w:w="882" w:type="dxa"/>
          </w:tcPr>
          <w:p w:rsidR="00857D63" w:rsidRDefault="00857D63" w:rsidP="00EC7A39">
            <w:pPr>
              <w:rPr>
                <w:lang w:val="sr-Cyrl-RS"/>
              </w:rPr>
            </w:pPr>
            <w:r>
              <w:rPr>
                <w:lang w:val="sr-Cyrl-RS"/>
              </w:rPr>
              <w:t>7.</w:t>
            </w:r>
          </w:p>
        </w:tc>
        <w:tc>
          <w:tcPr>
            <w:tcW w:w="3650" w:type="dxa"/>
          </w:tcPr>
          <w:p w:rsidR="00857D63" w:rsidRDefault="00857D63" w:rsidP="00857D63">
            <w:pPr>
              <w:rPr>
                <w:lang w:val="sr-Cyrl-RS"/>
              </w:rPr>
            </w:pPr>
            <w:r>
              <w:rPr>
                <w:lang w:val="sr-Cyrl-RS"/>
              </w:rPr>
              <w:t>Периодична провера испуштања контролисаних супстанци свих расхладних уређаја у Кухињи,,Младост'', 2 пута годишње са издавањем Извештаја</w:t>
            </w:r>
          </w:p>
        </w:tc>
        <w:tc>
          <w:tcPr>
            <w:tcW w:w="1350" w:type="dxa"/>
          </w:tcPr>
          <w:p w:rsidR="00857D63" w:rsidRDefault="00857D63" w:rsidP="00EC7A39">
            <w:pPr>
              <w:jc w:val="center"/>
              <w:rPr>
                <w:lang w:val="sr-Cyrl-RS"/>
              </w:rPr>
            </w:pPr>
            <w:r>
              <w:rPr>
                <w:lang w:val="sr-Cyrl-RS"/>
              </w:rPr>
              <w:t>ком</w:t>
            </w:r>
          </w:p>
        </w:tc>
        <w:tc>
          <w:tcPr>
            <w:tcW w:w="1542" w:type="dxa"/>
          </w:tcPr>
          <w:p w:rsidR="00857D63" w:rsidRDefault="00857D63" w:rsidP="00EC7A39">
            <w:pPr>
              <w:jc w:val="center"/>
              <w:rPr>
                <w:lang w:val="sr-Cyrl-RS"/>
              </w:rPr>
            </w:pPr>
            <w:r>
              <w:rPr>
                <w:lang w:val="sr-Cyrl-RS"/>
              </w:rPr>
              <w:t>45</w:t>
            </w:r>
          </w:p>
        </w:tc>
        <w:tc>
          <w:tcPr>
            <w:tcW w:w="1714" w:type="dxa"/>
          </w:tcPr>
          <w:p w:rsidR="00857D63" w:rsidRPr="007D425E" w:rsidRDefault="00857D63" w:rsidP="00EC7A39">
            <w:pPr>
              <w:jc w:val="center"/>
            </w:pPr>
          </w:p>
        </w:tc>
        <w:tc>
          <w:tcPr>
            <w:tcW w:w="2027" w:type="dxa"/>
          </w:tcPr>
          <w:p w:rsidR="00857D63" w:rsidRPr="007D425E" w:rsidRDefault="00857D63" w:rsidP="00EC7A39">
            <w:pPr>
              <w:jc w:val="center"/>
            </w:pPr>
          </w:p>
        </w:tc>
      </w:tr>
    </w:tbl>
    <w:p w:rsidR="005A2E92" w:rsidRPr="007D425E" w:rsidRDefault="005A2E92" w:rsidP="005A2E92">
      <w:pPr>
        <w:suppressAutoHyphens/>
        <w:ind w:left="-567" w:right="288"/>
        <w:rPr>
          <w:rFonts w:eastAsia="Times New Roman"/>
          <w:b/>
          <w:lang w:val="sr-Cyrl-RS"/>
        </w:rPr>
      </w:pPr>
    </w:p>
    <w:tbl>
      <w:tblPr>
        <w:tblpPr w:leftFromText="180" w:rightFromText="180" w:vertAnchor="text" w:horzAnchor="margin" w:tblpXSpec="center" w:tblpY="-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8"/>
        <w:gridCol w:w="4828"/>
      </w:tblGrid>
      <w:tr w:rsidR="005A2E92" w:rsidRPr="009C574D" w:rsidTr="000E78FF">
        <w:tc>
          <w:tcPr>
            <w:tcW w:w="4778" w:type="dxa"/>
            <w:shd w:val="clear" w:color="auto" w:fill="auto"/>
          </w:tcPr>
          <w:p w:rsidR="005A2E92" w:rsidRPr="009C574D" w:rsidRDefault="005A2E92" w:rsidP="00857D63">
            <w:pPr>
              <w:spacing w:after="200" w:line="276" w:lineRule="auto"/>
              <w:ind w:right="-854"/>
              <w:jc w:val="both"/>
              <w:rPr>
                <w:rFonts w:eastAsia="Calibri"/>
                <w:b/>
                <w:i/>
                <w:lang w:val="sr-Cyrl-RS"/>
              </w:rPr>
            </w:pPr>
            <w:r w:rsidRPr="009C574D">
              <w:rPr>
                <w:rFonts w:eastAsia="Calibri"/>
                <w:b/>
                <w:i/>
              </w:rPr>
              <w:lastRenderedPageBreak/>
              <w:t xml:space="preserve">УКУПНО БЕЗ ПДВ </w:t>
            </w:r>
            <w:r w:rsidRPr="009C574D">
              <w:rPr>
                <w:rFonts w:eastAsia="Calibri"/>
                <w:b/>
                <w:i/>
                <w:lang w:val="sr-Cyrl-RS"/>
              </w:rPr>
              <w:t xml:space="preserve">(из колоне </w:t>
            </w:r>
            <w:r w:rsidR="00857D63">
              <w:rPr>
                <w:rFonts w:eastAsia="Calibri"/>
                <w:b/>
                <w:i/>
                <w:lang w:val="sr-Cyrl-RS"/>
              </w:rPr>
              <w:t>6</w:t>
            </w:r>
            <w:r w:rsidRPr="009C574D">
              <w:rPr>
                <w:rFonts w:eastAsia="Calibri"/>
                <w:b/>
                <w:i/>
                <w:lang w:val="sr-Cyrl-RS"/>
              </w:rPr>
              <w:t>)</w:t>
            </w:r>
          </w:p>
        </w:tc>
        <w:tc>
          <w:tcPr>
            <w:tcW w:w="4828" w:type="dxa"/>
            <w:shd w:val="clear" w:color="auto" w:fill="auto"/>
          </w:tcPr>
          <w:p w:rsidR="005A2E92" w:rsidRPr="009C574D" w:rsidRDefault="005A2E92" w:rsidP="00EC7A39">
            <w:pPr>
              <w:spacing w:after="200" w:line="276" w:lineRule="auto"/>
              <w:ind w:right="-854"/>
              <w:jc w:val="both"/>
              <w:rPr>
                <w:rFonts w:eastAsia="Calibri"/>
              </w:rPr>
            </w:pPr>
          </w:p>
          <w:p w:rsidR="005A2E92" w:rsidRPr="009C574D" w:rsidRDefault="005A2E92" w:rsidP="00EC7A39">
            <w:pPr>
              <w:spacing w:after="200" w:line="276" w:lineRule="auto"/>
              <w:ind w:right="-854"/>
              <w:jc w:val="both"/>
              <w:rPr>
                <w:rFonts w:eastAsia="Calibri"/>
              </w:rPr>
            </w:pPr>
            <w:r w:rsidRPr="009C574D">
              <w:rPr>
                <w:rFonts w:eastAsia="Calibri"/>
              </w:rPr>
              <w:t>________________________ динара</w:t>
            </w:r>
          </w:p>
        </w:tc>
      </w:tr>
      <w:tr w:rsidR="005A2E92" w:rsidRPr="009C574D" w:rsidTr="000E78FF">
        <w:tc>
          <w:tcPr>
            <w:tcW w:w="4778" w:type="dxa"/>
            <w:shd w:val="clear" w:color="auto" w:fill="auto"/>
          </w:tcPr>
          <w:p w:rsidR="005A2E92" w:rsidRPr="009C574D" w:rsidRDefault="005A2E92" w:rsidP="00EC7A39">
            <w:pPr>
              <w:spacing w:after="200" w:line="276" w:lineRule="auto"/>
              <w:ind w:right="-854"/>
              <w:jc w:val="both"/>
              <w:rPr>
                <w:rFonts w:eastAsia="Calibri"/>
                <w:b/>
                <w:i/>
              </w:rPr>
            </w:pPr>
            <w:r w:rsidRPr="009C574D">
              <w:rPr>
                <w:rFonts w:eastAsia="Calibri"/>
                <w:b/>
                <w:i/>
              </w:rPr>
              <w:t>УКУПНО ПДВ</w:t>
            </w:r>
          </w:p>
        </w:tc>
        <w:tc>
          <w:tcPr>
            <w:tcW w:w="4828" w:type="dxa"/>
            <w:shd w:val="clear" w:color="auto" w:fill="auto"/>
          </w:tcPr>
          <w:p w:rsidR="005A2E92" w:rsidRPr="009C574D" w:rsidRDefault="005A2E92" w:rsidP="00EC7A39">
            <w:pPr>
              <w:spacing w:after="200" w:line="276" w:lineRule="auto"/>
              <w:ind w:right="-854"/>
              <w:jc w:val="both"/>
              <w:rPr>
                <w:rFonts w:eastAsia="Calibri"/>
              </w:rPr>
            </w:pPr>
          </w:p>
          <w:p w:rsidR="005A2E92" w:rsidRPr="009C574D" w:rsidRDefault="005A2E92" w:rsidP="00EC7A39">
            <w:pPr>
              <w:spacing w:after="200" w:line="276" w:lineRule="auto"/>
              <w:ind w:right="-854"/>
              <w:jc w:val="both"/>
              <w:rPr>
                <w:rFonts w:eastAsia="Calibri"/>
              </w:rPr>
            </w:pPr>
            <w:r w:rsidRPr="009C574D">
              <w:rPr>
                <w:rFonts w:eastAsia="Calibri"/>
              </w:rPr>
              <w:t>_______%  _______________ динара</w:t>
            </w:r>
          </w:p>
        </w:tc>
      </w:tr>
      <w:tr w:rsidR="005A2E92" w:rsidRPr="009C574D" w:rsidTr="000E78FF">
        <w:tc>
          <w:tcPr>
            <w:tcW w:w="4778" w:type="dxa"/>
            <w:shd w:val="clear" w:color="auto" w:fill="auto"/>
          </w:tcPr>
          <w:p w:rsidR="005A2E92" w:rsidRPr="009C574D" w:rsidRDefault="005A2E92" w:rsidP="00EC7A39">
            <w:pPr>
              <w:spacing w:after="200" w:line="276" w:lineRule="auto"/>
              <w:ind w:right="-854"/>
              <w:jc w:val="both"/>
              <w:rPr>
                <w:rFonts w:eastAsia="Calibri"/>
                <w:b/>
                <w:i/>
              </w:rPr>
            </w:pPr>
            <w:r w:rsidRPr="009C574D">
              <w:rPr>
                <w:rFonts w:eastAsia="Calibri"/>
                <w:b/>
                <w:i/>
              </w:rPr>
              <w:t>УКУПНО СА ПДВ</w:t>
            </w:r>
          </w:p>
        </w:tc>
        <w:tc>
          <w:tcPr>
            <w:tcW w:w="4828" w:type="dxa"/>
            <w:shd w:val="clear" w:color="auto" w:fill="auto"/>
          </w:tcPr>
          <w:p w:rsidR="005A2E92" w:rsidRPr="009C574D" w:rsidRDefault="005A2E92" w:rsidP="00EC7A39">
            <w:pPr>
              <w:spacing w:after="200" w:line="276" w:lineRule="auto"/>
              <w:ind w:right="-854"/>
              <w:jc w:val="both"/>
              <w:rPr>
                <w:rFonts w:eastAsia="Calibri"/>
              </w:rPr>
            </w:pPr>
          </w:p>
          <w:p w:rsidR="005A2E92" w:rsidRPr="009C574D" w:rsidRDefault="005A2E92" w:rsidP="00EC7A39">
            <w:pPr>
              <w:spacing w:after="200" w:line="276" w:lineRule="auto"/>
              <w:ind w:right="-854"/>
              <w:jc w:val="both"/>
              <w:rPr>
                <w:rFonts w:eastAsia="Calibri"/>
              </w:rPr>
            </w:pPr>
            <w:r w:rsidRPr="009C574D">
              <w:rPr>
                <w:rFonts w:eastAsia="Calibri"/>
              </w:rPr>
              <w:t>________________________ динара</w:t>
            </w:r>
          </w:p>
        </w:tc>
      </w:tr>
    </w:tbl>
    <w:p w:rsidR="005A2E92" w:rsidRPr="009C574D" w:rsidRDefault="005A2E92" w:rsidP="005A2E92">
      <w:pPr>
        <w:tabs>
          <w:tab w:val="left" w:pos="180"/>
        </w:tabs>
        <w:suppressAutoHyphens/>
        <w:ind w:right="23"/>
        <w:jc w:val="both"/>
        <w:rPr>
          <w:rFonts w:eastAsia="Calibri"/>
          <w:b/>
          <w:lang w:val="sr-Cyrl-CS" w:eastAsia="ar-SA"/>
        </w:rPr>
      </w:pPr>
    </w:p>
    <w:p w:rsidR="00281CD8" w:rsidRDefault="00281CD8" w:rsidP="005A2E92">
      <w:pPr>
        <w:tabs>
          <w:tab w:val="left" w:pos="180"/>
        </w:tabs>
        <w:suppressAutoHyphens/>
        <w:ind w:right="23"/>
        <w:jc w:val="both"/>
        <w:rPr>
          <w:rFonts w:eastAsia="Calibri"/>
          <w:lang w:val="sr-Cyrl-CS" w:eastAsia="ar-SA"/>
        </w:rPr>
      </w:pPr>
      <w:r>
        <w:rPr>
          <w:rFonts w:eastAsia="Calibri"/>
          <w:b/>
          <w:lang w:val="sr-Cyrl-CS" w:eastAsia="ar-SA"/>
        </w:rPr>
        <w:t xml:space="preserve">НАПОМЕНА: </w:t>
      </w:r>
      <w:r w:rsidR="00857D63">
        <w:rPr>
          <w:rFonts w:eastAsia="Calibri"/>
          <w:lang w:val="sr-Cyrl-CS" w:eastAsia="ar-SA"/>
        </w:rPr>
        <w:t>У коначну цену услуге морају бити ураћунати сви трошкови које понуђачи имају у реализацији предметних услуга.</w:t>
      </w:r>
    </w:p>
    <w:p w:rsidR="00857D63" w:rsidRDefault="00857D63" w:rsidP="005A2E92">
      <w:pPr>
        <w:tabs>
          <w:tab w:val="left" w:pos="180"/>
        </w:tabs>
        <w:suppressAutoHyphens/>
        <w:ind w:right="23"/>
        <w:jc w:val="both"/>
        <w:rPr>
          <w:rFonts w:eastAsia="Calibri"/>
          <w:lang w:val="sr-Cyrl-CS" w:eastAsia="ar-SA"/>
        </w:rPr>
      </w:pPr>
      <w:r>
        <w:rPr>
          <w:rFonts w:eastAsia="Calibri"/>
          <w:lang w:val="sr-Cyrl-CS" w:eastAsia="ar-SA"/>
        </w:rPr>
        <w:t>По завршеној контроли Пружалац услуге је у обавези да достави Извештај о извршеној контроли.</w:t>
      </w:r>
    </w:p>
    <w:p w:rsidR="00857D63" w:rsidRDefault="00857D63" w:rsidP="005A2E92">
      <w:pPr>
        <w:tabs>
          <w:tab w:val="left" w:pos="180"/>
        </w:tabs>
        <w:suppressAutoHyphens/>
        <w:ind w:right="23"/>
        <w:jc w:val="both"/>
        <w:rPr>
          <w:rFonts w:eastAsia="Calibri"/>
          <w:lang w:val="sr-Cyrl-CS" w:eastAsia="ar-SA"/>
        </w:rPr>
      </w:pPr>
      <w:r>
        <w:rPr>
          <w:rFonts w:eastAsia="Calibri"/>
          <w:lang w:val="sr-Cyrl-CS" w:eastAsia="ar-SA"/>
        </w:rPr>
        <w:t>Услуга мора бити извршена квалитетно у свему према нормативима и стандардима чија је употреба обавезна, уважавајући правила струке, професионално и савасно са обученим кадром за ту врсту услуге и свему у складу са Правилником о посебним условима које морају испуњавати правна лица која добијају овлашћења за обављање послова контролисања инсталација и уређаја за расхлађивање (,,Сл.гласник РС'' бр.114/2013, 23/2018, 44/2018 и 95/2018).</w:t>
      </w:r>
    </w:p>
    <w:p w:rsidR="00857D63" w:rsidRDefault="00857D63" w:rsidP="005A2E92">
      <w:pPr>
        <w:tabs>
          <w:tab w:val="left" w:pos="180"/>
        </w:tabs>
        <w:suppressAutoHyphens/>
        <w:ind w:right="23"/>
        <w:jc w:val="both"/>
        <w:rPr>
          <w:rFonts w:eastAsia="Calibri"/>
          <w:lang w:val="sr-Cyrl-CS" w:eastAsia="ar-SA"/>
        </w:rPr>
      </w:pPr>
      <w:r>
        <w:rPr>
          <w:rFonts w:eastAsia="Calibri"/>
          <w:lang w:val="sr-Cyrl-CS" w:eastAsia="ar-SA"/>
        </w:rPr>
        <w:t>Све извештаје о обављеним прегледима и испитивањима доставити на увид инспектору за заштиту животне средине надлежне градске управе.</w:t>
      </w:r>
    </w:p>
    <w:p w:rsidR="00857D63" w:rsidRPr="00857D63" w:rsidRDefault="00857D63" w:rsidP="005A2E92">
      <w:pPr>
        <w:tabs>
          <w:tab w:val="left" w:pos="180"/>
        </w:tabs>
        <w:suppressAutoHyphens/>
        <w:ind w:right="23"/>
        <w:jc w:val="both"/>
        <w:rPr>
          <w:rFonts w:eastAsia="Calibri"/>
          <w:lang w:val="sr-Cyrl-CS" w:eastAsia="ar-SA"/>
        </w:rPr>
      </w:pPr>
    </w:p>
    <w:p w:rsidR="005A2E92" w:rsidRPr="009C574D"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5A2E92" w:rsidRPr="009C574D" w:rsidRDefault="005A2E92" w:rsidP="005A2E92">
      <w:pPr>
        <w:tabs>
          <w:tab w:val="left" w:pos="180"/>
        </w:tabs>
        <w:suppressAutoHyphens/>
        <w:ind w:right="23"/>
        <w:jc w:val="both"/>
        <w:rPr>
          <w:rFonts w:eastAsia="Calibri"/>
          <w:lang w:val="sr-Cyrl-CS" w:eastAsia="ar-SA"/>
        </w:rPr>
      </w:pPr>
    </w:p>
    <w:p w:rsidR="005A2E92" w:rsidRPr="000E78FF"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0E78FF">
        <w:rPr>
          <w:rFonts w:eastAsia="Calibri"/>
          <w:b/>
          <w:lang w:val="sr-Cyrl-CS" w:eastAsia="ar-SA"/>
        </w:rPr>
        <w:t xml:space="preserve"> ________ </w:t>
      </w:r>
      <w:r w:rsidR="000E78FF" w:rsidRPr="000E78FF">
        <w:rPr>
          <w:rFonts w:eastAsia="Calibri"/>
          <w:lang w:val="sr-Cyrl-CS" w:eastAsia="ar-SA"/>
        </w:rPr>
        <w:t xml:space="preserve">дана (не може бити </w:t>
      </w:r>
      <w:r w:rsidR="00281CD8">
        <w:rPr>
          <w:rFonts w:eastAsia="Calibri"/>
          <w:lang w:val="sr-Cyrl-CS" w:eastAsia="ar-SA"/>
        </w:rPr>
        <w:t>дужи</w:t>
      </w:r>
      <w:r w:rsidR="000E78FF" w:rsidRPr="000E78FF">
        <w:rPr>
          <w:rFonts w:eastAsia="Calibri"/>
          <w:lang w:val="sr-Cyrl-CS" w:eastAsia="ar-SA"/>
        </w:rPr>
        <w:t xml:space="preserve"> од </w:t>
      </w:r>
      <w:r w:rsidR="00857D63">
        <w:rPr>
          <w:rFonts w:eastAsia="Calibri"/>
          <w:lang w:val="sr-Cyrl-CS" w:eastAsia="ar-SA"/>
        </w:rPr>
        <w:t>7</w:t>
      </w:r>
      <w:r w:rsidR="000E78FF" w:rsidRPr="000E78FF">
        <w:rPr>
          <w:rFonts w:eastAsia="Calibri"/>
          <w:lang w:val="sr-Cyrl-CS" w:eastAsia="ar-SA"/>
        </w:rPr>
        <w:t xml:space="preserve"> дана) од дана позива Наручиоца.</w:t>
      </w:r>
    </w:p>
    <w:p w:rsidR="009D2611" w:rsidRPr="009C574D" w:rsidRDefault="009D2611" w:rsidP="005A2E92">
      <w:pPr>
        <w:tabs>
          <w:tab w:val="left" w:pos="180"/>
        </w:tabs>
        <w:suppressAutoHyphens/>
        <w:ind w:right="23"/>
        <w:jc w:val="both"/>
        <w:rPr>
          <w:rFonts w:eastAsia="Calibri"/>
          <w:lang w:val="sr-Cyrl-CS" w:eastAsia="ar-SA"/>
        </w:rPr>
      </w:pPr>
    </w:p>
    <w:p w:rsidR="005A2E92" w:rsidRPr="009C574D"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5A2E92" w:rsidRPr="007D425E" w:rsidRDefault="005A2E92" w:rsidP="005A2E92">
      <w:pPr>
        <w:suppressAutoHyphens/>
        <w:ind w:right="-1"/>
        <w:jc w:val="center"/>
        <w:rPr>
          <w:rFonts w:eastAsia="Times New Roman"/>
          <w:lang w:eastAsia="ar-SA"/>
        </w:rPr>
      </w:pPr>
    </w:p>
    <w:p w:rsidR="005A2E92" w:rsidRPr="007D425E" w:rsidRDefault="005A2E92" w:rsidP="005A2E92">
      <w:pPr>
        <w:suppressAutoHyphens/>
        <w:rPr>
          <w:rFonts w:ascii="Arial" w:eastAsia="Times New Roman" w:hAnsi="Arial"/>
          <w:lang w:val="sr-Cyrl-RS" w:eastAsia="ar-SA"/>
        </w:rPr>
      </w:pPr>
    </w:p>
    <w:p w:rsidR="005A2E92" w:rsidRPr="007D425E" w:rsidRDefault="005A2E92" w:rsidP="005A2E92">
      <w:pPr>
        <w:suppressAutoHyphens/>
        <w:rPr>
          <w:rFonts w:ascii="Arial" w:eastAsia="Times New Roman" w:hAnsi="Arial"/>
          <w:lang w:val="sr-Cyrl-RS" w:eastAsia="ar-SA"/>
        </w:rPr>
      </w:pPr>
    </w:p>
    <w:p w:rsidR="005A2E92" w:rsidRPr="007D425E" w:rsidRDefault="005A2E92" w:rsidP="005A2E92">
      <w:pPr>
        <w:suppressAutoHyphens/>
        <w:rPr>
          <w:rFonts w:ascii="Arial" w:eastAsia="Times New Roman" w:hAnsi="Arial"/>
          <w:vanish/>
          <w:lang w:val="sr-Cyrl-RS" w:eastAsia="ar-SA"/>
        </w:rPr>
      </w:pPr>
    </w:p>
    <w:p w:rsidR="005A2E92" w:rsidRPr="007D425E" w:rsidRDefault="005A2E92" w:rsidP="005A2E92">
      <w:pPr>
        <w:rPr>
          <w:rFonts w:eastAsia="Times New Roman"/>
          <w:bCs/>
          <w:iCs/>
          <w:lang w:val="sr-Latn-CS"/>
        </w:rPr>
      </w:pPr>
      <w:r w:rsidRPr="007D425E">
        <w:rPr>
          <w:rFonts w:eastAsia="Times New Roman"/>
          <w:bCs/>
          <w:iCs/>
          <w:lang w:val="sr-Cyrl-CS"/>
        </w:rPr>
        <w:t>У Нишу,   ____.____.202</w:t>
      </w:r>
      <w:r w:rsidR="00281CD8">
        <w:rPr>
          <w:rFonts w:eastAsia="Times New Roman"/>
          <w:bCs/>
          <w:iCs/>
          <w:lang w:val="sr-Cyrl-CS"/>
        </w:rPr>
        <w:t>3</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5A2E92" w:rsidRPr="007D425E" w:rsidRDefault="005A2E92" w:rsidP="005A2E92">
      <w:pPr>
        <w:rPr>
          <w:rFonts w:eastAsia="Times New Roman"/>
          <w:bCs/>
          <w:iCs/>
          <w:lang w:val="sr-Latn-CS"/>
        </w:rPr>
      </w:pPr>
    </w:p>
    <w:p w:rsidR="005A2E92" w:rsidRPr="007D425E" w:rsidRDefault="005A2E92" w:rsidP="005A2E92">
      <w:pPr>
        <w:ind w:left="4950"/>
        <w:rPr>
          <w:rFonts w:eastAsia="Times New Roman"/>
          <w:bCs/>
          <w:iCs/>
        </w:rPr>
      </w:pPr>
    </w:p>
    <w:p w:rsidR="005A2E92" w:rsidRPr="007D425E" w:rsidRDefault="005A2E92" w:rsidP="005A2E9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5A2E92" w:rsidRPr="007D425E" w:rsidRDefault="005A2E92" w:rsidP="005A2E9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0E78FF" w:rsidRDefault="000E78FF"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5A2E92" w:rsidRPr="007D425E" w:rsidRDefault="005A2E92" w:rsidP="005A2E92">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5A2E92" w:rsidRPr="007D425E" w:rsidRDefault="005A2E92" w:rsidP="005A2E92">
      <w:pPr>
        <w:autoSpaceDE w:val="0"/>
        <w:autoSpaceDN w:val="0"/>
        <w:adjustRightInd w:val="0"/>
        <w:spacing w:before="72" w:line="274" w:lineRule="exact"/>
        <w:ind w:firstLine="567"/>
        <w:jc w:val="both"/>
        <w:rPr>
          <w:rFonts w:eastAsia="Times New Roman"/>
          <w:b/>
          <w:lang w:eastAsia="ar-SA"/>
        </w:rPr>
      </w:pPr>
    </w:p>
    <w:p w:rsidR="005A2E92" w:rsidRPr="007D425E" w:rsidRDefault="005A2E92" w:rsidP="005A2E92">
      <w:pPr>
        <w:suppressAutoHyphens/>
        <w:ind w:right="-1"/>
        <w:jc w:val="center"/>
        <w:rPr>
          <w:rFonts w:eastAsia="Times New Roman"/>
          <w:b/>
          <w:lang w:val="sr-Cyrl-RS" w:eastAsia="ar-SA"/>
        </w:rPr>
      </w:pPr>
      <w:r w:rsidRPr="007D425E">
        <w:rPr>
          <w:rFonts w:eastAsia="Times New Roman"/>
          <w:b/>
          <w:lang w:eastAsia="ar-SA"/>
        </w:rPr>
        <w:t>И З Ј А В У</w:t>
      </w:r>
    </w:p>
    <w:p w:rsidR="005A2E92" w:rsidRPr="007D425E" w:rsidRDefault="005A2E92" w:rsidP="005A2E92">
      <w:pPr>
        <w:suppressAutoHyphens/>
        <w:ind w:right="-1"/>
        <w:jc w:val="center"/>
        <w:rPr>
          <w:rFonts w:eastAsia="Times New Roman"/>
          <w:b/>
          <w:lang w:val="sr-Cyrl-RS" w:eastAsia="ar-SA"/>
        </w:rPr>
      </w:pPr>
    </w:p>
    <w:p w:rsidR="005A2E92" w:rsidRPr="007D425E" w:rsidRDefault="005A2E92" w:rsidP="005A2E92">
      <w:pPr>
        <w:autoSpaceDE w:val="0"/>
        <w:autoSpaceDN w:val="0"/>
        <w:adjustRightInd w:val="0"/>
        <w:spacing w:line="240" w:lineRule="exact"/>
        <w:jc w:val="both"/>
        <w:rPr>
          <w:rFonts w:eastAsia="Times New Roman"/>
          <w:lang w:eastAsia="ar-SA"/>
        </w:rPr>
      </w:pPr>
    </w:p>
    <w:p w:rsidR="005A2E92" w:rsidRPr="007D425E" w:rsidRDefault="005A2E92" w:rsidP="005A2E92">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281CD8">
        <w:rPr>
          <w:rFonts w:eastAsia="Times New Roman"/>
          <w:b/>
          <w:lang w:val="sr-Cyrl-CS" w:eastAsia="sr-Latn-CS"/>
        </w:rPr>
        <w:t>2.2.</w:t>
      </w:r>
      <w:r w:rsidR="00857D63">
        <w:rPr>
          <w:rFonts w:eastAsia="Times New Roman"/>
          <w:b/>
          <w:lang w:val="sr-Cyrl-CS" w:eastAsia="sr-Latn-CS"/>
        </w:rPr>
        <w:t>106</w:t>
      </w:r>
      <w:r w:rsidRPr="007D425E">
        <w:rPr>
          <w:rFonts w:eastAsia="Times New Roman"/>
          <w:b/>
          <w:lang w:val="sr-Cyrl-CS" w:eastAsia="sr-Latn-CS"/>
        </w:rPr>
        <w:t xml:space="preserve">. </w:t>
      </w:r>
      <w:r w:rsidR="00857D63">
        <w:rPr>
          <w:rFonts w:eastAsia="Times New Roman" w:cs="Arial"/>
          <w:b/>
          <w:lang w:val="sr-Cyrl-CS" w:eastAsia="sr-Cyrl-CS"/>
        </w:rPr>
        <w:t>Категоризација и периодична провера испуштања контролисаних супстанци</w:t>
      </w:r>
      <w:r w:rsidRPr="007D425E">
        <w:rPr>
          <w:rFonts w:eastAsia="Times New Roman"/>
          <w:b/>
          <w:lang w:val="sr-Cyrl-RS" w:eastAsia="sr-Latn-CS"/>
        </w:rPr>
        <w:t xml:space="preserve">, </w:t>
      </w:r>
      <w:r w:rsidR="000E78FF">
        <w:rPr>
          <w:rFonts w:eastAsia="Times New Roman" w:cs="Arial"/>
          <w:b/>
          <w:u w:val="single"/>
          <w:lang w:val="sr-Cyrl-CS" w:eastAsia="sr-Cyrl-CS"/>
        </w:rPr>
        <w:t xml:space="preserve">испуњава све услове </w:t>
      </w:r>
      <w:r w:rsidRPr="007D425E">
        <w:rPr>
          <w:rFonts w:eastAsia="Times New Roman" w:cs="Arial"/>
          <w:lang w:val="sr-Cyrl-CS" w:eastAsia="sr-Cyrl-CS"/>
        </w:rPr>
        <w:t xml:space="preserve"> дефинисане конкурсном документацијом за предметну  набавку и то:</w:t>
      </w:r>
    </w:p>
    <w:p w:rsidR="005A2E92" w:rsidRPr="007D425E" w:rsidRDefault="005A2E92" w:rsidP="005A2E9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5A2E92" w:rsidRPr="007D425E" w:rsidRDefault="005A2E92" w:rsidP="005A2E92">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5A2E92" w:rsidRPr="007D425E" w:rsidRDefault="005A2E92" w:rsidP="005A2E92">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5A2E92" w:rsidRPr="007D425E" w:rsidRDefault="005A2E92" w:rsidP="005A2E92">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A2E92" w:rsidRPr="00A72A79" w:rsidRDefault="005A2E92" w:rsidP="005A2E9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72A79" w:rsidRPr="00F523B6" w:rsidRDefault="00DD688B" w:rsidP="005A2E9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i/>
          <w:u w:val="single"/>
          <w:lang w:eastAsia="sr-Cyrl-CS"/>
        </w:rPr>
      </w:pPr>
      <w:r w:rsidRPr="00F523B6">
        <w:rPr>
          <w:rFonts w:eastAsia="Times New Roman"/>
          <w:b/>
          <w:lang w:val="sr-Cyrl-CS" w:eastAsia="sr-Cyrl-CS"/>
        </w:rPr>
        <w:t xml:space="preserve">Важећа </w:t>
      </w:r>
      <w:r w:rsidR="00A72A79" w:rsidRPr="00F523B6">
        <w:rPr>
          <w:rFonts w:eastAsia="Times New Roman"/>
          <w:b/>
          <w:lang w:val="sr-Cyrl-CS" w:eastAsia="sr-Cyrl-CS"/>
        </w:rPr>
        <w:t xml:space="preserve">Дозвола за рад </w:t>
      </w:r>
      <w:r w:rsidRPr="00F523B6">
        <w:rPr>
          <w:rFonts w:eastAsia="Times New Roman"/>
          <w:b/>
          <w:lang w:val="sr-Cyrl-CS" w:eastAsia="sr-Cyrl-CS"/>
        </w:rPr>
        <w:t xml:space="preserve">сервиса са супстанцама које оштећује озонски омотач и/или флурованим гасовима са ефектом стаклене баште – </w:t>
      </w:r>
      <w:r w:rsidRPr="00F523B6">
        <w:rPr>
          <w:rFonts w:eastAsia="Times New Roman"/>
          <w:b/>
          <w:i/>
          <w:u w:val="single"/>
          <w:lang w:val="sr-Cyrl-CS" w:eastAsia="sr-Cyrl-CS"/>
        </w:rPr>
        <w:t>ДОЗВОЛУ ОБАВЕЗНО</w:t>
      </w:r>
      <w:r w:rsidR="00F523B6" w:rsidRPr="00F523B6">
        <w:rPr>
          <w:rFonts w:eastAsia="Times New Roman"/>
          <w:b/>
          <w:i/>
          <w:u w:val="single"/>
          <w:lang w:val="sr-Cyrl-CS" w:eastAsia="sr-Cyrl-CS"/>
        </w:rPr>
        <w:t xml:space="preserve"> ДОСТАВИТИ УЗ ПОНУДУ</w:t>
      </w:r>
    </w:p>
    <w:p w:rsidR="005A2E92" w:rsidRDefault="005A2E92" w:rsidP="005A2E92">
      <w:pPr>
        <w:tabs>
          <w:tab w:val="left" w:pos="0"/>
        </w:tabs>
        <w:suppressAutoHyphens/>
        <w:autoSpaceDE w:val="0"/>
        <w:autoSpaceDN w:val="0"/>
        <w:adjustRightInd w:val="0"/>
        <w:spacing w:line="274" w:lineRule="exact"/>
        <w:ind w:left="426" w:right="144"/>
        <w:jc w:val="both"/>
        <w:rPr>
          <w:rFonts w:eastAsia="Times New Roman"/>
          <w:lang w:val="sr-Cyrl-RS" w:eastAsia="sr-Cyrl-CS"/>
        </w:rPr>
      </w:pPr>
    </w:p>
    <w:p w:rsidR="009D2611" w:rsidRPr="009D2611" w:rsidRDefault="009D2611" w:rsidP="005A2E92">
      <w:pPr>
        <w:tabs>
          <w:tab w:val="left" w:pos="0"/>
        </w:tabs>
        <w:suppressAutoHyphens/>
        <w:autoSpaceDE w:val="0"/>
        <w:autoSpaceDN w:val="0"/>
        <w:adjustRightInd w:val="0"/>
        <w:spacing w:line="274" w:lineRule="exact"/>
        <w:ind w:left="426" w:right="144"/>
        <w:jc w:val="both"/>
        <w:rPr>
          <w:rFonts w:eastAsia="Times New Roman"/>
          <w:lang w:val="sr-Cyrl-RS" w:eastAsia="sr-Cyrl-CS"/>
        </w:rPr>
      </w:pPr>
    </w:p>
    <w:p w:rsidR="005A2E92" w:rsidRPr="007D425E" w:rsidRDefault="005A2E92" w:rsidP="005A2E92">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F523B6">
        <w:rPr>
          <w:rFonts w:eastAsia="Times New Roman"/>
          <w:b/>
          <w:lang w:val="sr-Cyrl-CS" w:eastAsia="sr-Latn-CS"/>
        </w:rPr>
        <w:t>2.2.106</w:t>
      </w:r>
      <w:r w:rsidR="00F523B6" w:rsidRPr="007D425E">
        <w:rPr>
          <w:rFonts w:eastAsia="Times New Roman"/>
          <w:b/>
          <w:lang w:val="sr-Cyrl-CS" w:eastAsia="sr-Latn-CS"/>
        </w:rPr>
        <w:t xml:space="preserve">. </w:t>
      </w:r>
      <w:r w:rsidR="00F523B6">
        <w:rPr>
          <w:rFonts w:eastAsia="Times New Roman" w:cs="Arial"/>
          <w:b/>
          <w:lang w:val="sr-Cyrl-CS" w:eastAsia="sr-Cyrl-CS"/>
        </w:rPr>
        <w:t>Категоризација и периодична провера испуштања контролисаних супстанци</w:t>
      </w:r>
      <w:bookmarkStart w:id="0" w:name="_GoBack"/>
      <w:bookmarkEnd w:id="0"/>
      <w:r w:rsidRPr="007D425E">
        <w:rPr>
          <w:rFonts w:eastAsia="Times New Roman"/>
          <w:lang w:eastAsia="ar-SA"/>
        </w:rPr>
        <w:t xml:space="preserve"> 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5A2E92" w:rsidRPr="007D425E" w:rsidRDefault="005A2E92" w:rsidP="005A2E92">
      <w:pPr>
        <w:suppressAutoHyphens/>
        <w:jc w:val="both"/>
        <w:rPr>
          <w:rFonts w:eastAsia="Times New Roman"/>
          <w:lang w:val="sr-Cyrl-RS"/>
        </w:rPr>
      </w:pPr>
    </w:p>
    <w:p w:rsidR="005A2E92" w:rsidRPr="007D425E" w:rsidRDefault="005A2E92" w:rsidP="005A2E92">
      <w:pPr>
        <w:suppressAutoHyphens/>
        <w:jc w:val="both"/>
        <w:rPr>
          <w:rFonts w:eastAsia="Times New Roman"/>
          <w:lang w:val="sr-Cyrl-RS"/>
        </w:rPr>
      </w:pPr>
    </w:p>
    <w:p w:rsidR="005A2E92" w:rsidRPr="007D425E" w:rsidRDefault="005A2E92" w:rsidP="005A2E92">
      <w:pPr>
        <w:rPr>
          <w:rFonts w:eastAsia="Times New Roman"/>
          <w:bCs/>
          <w:iCs/>
          <w:lang w:val="sr-Latn-CS"/>
        </w:rPr>
      </w:pPr>
      <w:r w:rsidRPr="007D425E">
        <w:rPr>
          <w:rFonts w:eastAsia="Times New Roman"/>
          <w:bCs/>
          <w:iCs/>
          <w:lang w:val="sr-Cyrl-CS"/>
        </w:rPr>
        <w:t>У Нишу,   ____.____.202</w:t>
      </w:r>
      <w:r w:rsidR="00281CD8">
        <w:rPr>
          <w:rFonts w:eastAsia="Times New Roman"/>
          <w:bCs/>
          <w:iCs/>
          <w:lang w:val="sr-Cyrl-CS"/>
        </w:rPr>
        <w:t>3</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5A2E92" w:rsidRPr="007D425E" w:rsidRDefault="005A2E92" w:rsidP="005A2E92">
      <w:pPr>
        <w:rPr>
          <w:rFonts w:eastAsia="Times New Roman"/>
          <w:bCs/>
          <w:iCs/>
          <w:lang w:val="sr-Latn-CS"/>
        </w:rPr>
      </w:pPr>
    </w:p>
    <w:p w:rsidR="005A2E92" w:rsidRPr="007D425E" w:rsidRDefault="005A2E92" w:rsidP="005A2E92">
      <w:pPr>
        <w:ind w:left="4950"/>
        <w:rPr>
          <w:rFonts w:eastAsia="Times New Roman"/>
          <w:bCs/>
          <w:iCs/>
        </w:rPr>
      </w:pPr>
    </w:p>
    <w:p w:rsidR="005A2E92" w:rsidRPr="007D425E" w:rsidRDefault="005A2E92" w:rsidP="005A2E9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5A2E92" w:rsidRPr="007D425E" w:rsidRDefault="005A2E92" w:rsidP="005A2E9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p w:rsidR="00B16E74" w:rsidRDefault="0061397D"/>
    <w:sectPr w:rsidR="00B16E74" w:rsidSect="006D74FF">
      <w:headerReference w:type="default" r:id="rId9"/>
      <w:footerReference w:type="default" r:id="rId10"/>
      <w:pgSz w:w="12240" w:h="15840"/>
      <w:pgMar w:top="426"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97D" w:rsidRDefault="0061397D" w:rsidP="00150397">
      <w:r>
        <w:separator/>
      </w:r>
    </w:p>
  </w:endnote>
  <w:endnote w:type="continuationSeparator" w:id="0">
    <w:p w:rsidR="0061397D" w:rsidRDefault="0061397D" w:rsidP="0015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61397D">
    <w:pPr>
      <w:pStyle w:val="Footer1"/>
      <w:jc w:val="right"/>
    </w:pPr>
  </w:p>
  <w:p w:rsidR="00C70E12" w:rsidRDefault="0061397D">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97D" w:rsidRDefault="0061397D" w:rsidP="00150397">
      <w:r>
        <w:separator/>
      </w:r>
    </w:p>
  </w:footnote>
  <w:footnote w:type="continuationSeparator" w:id="0">
    <w:p w:rsidR="0061397D" w:rsidRDefault="0061397D" w:rsidP="0015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C70E12" w:rsidRDefault="0061397D" w:rsidP="006D74FF">
    <w:pPr>
      <w:pStyle w:val="Header1"/>
      <w:ind w:left="0" w:firstLine="0"/>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92"/>
    <w:rsid w:val="000E78FF"/>
    <w:rsid w:val="00150397"/>
    <w:rsid w:val="00281CD8"/>
    <w:rsid w:val="002F3C06"/>
    <w:rsid w:val="005A2E92"/>
    <w:rsid w:val="00604837"/>
    <w:rsid w:val="0061397D"/>
    <w:rsid w:val="006B2ADB"/>
    <w:rsid w:val="006D74FF"/>
    <w:rsid w:val="00857D63"/>
    <w:rsid w:val="009518B0"/>
    <w:rsid w:val="009D2611"/>
    <w:rsid w:val="009F4735"/>
    <w:rsid w:val="009F73FE"/>
    <w:rsid w:val="00A72A79"/>
    <w:rsid w:val="00AC3CAE"/>
    <w:rsid w:val="00BF1DB3"/>
    <w:rsid w:val="00D21575"/>
    <w:rsid w:val="00D42FEF"/>
    <w:rsid w:val="00D71FE5"/>
    <w:rsid w:val="00DD688B"/>
    <w:rsid w:val="00F523B6"/>
    <w:rsid w:val="00F7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A2E92"/>
    <w:pPr>
      <w:tabs>
        <w:tab w:val="center" w:pos="4680"/>
        <w:tab w:val="right" w:pos="9360"/>
      </w:tabs>
      <w:ind w:left="720" w:hanging="360"/>
      <w:jc w:val="both"/>
    </w:pPr>
  </w:style>
  <w:style w:type="character" w:customStyle="1" w:styleId="HeaderChar">
    <w:name w:val="Header Char"/>
    <w:basedOn w:val="DefaultParagraphFont"/>
    <w:link w:val="Header1"/>
    <w:uiPriority w:val="99"/>
    <w:rsid w:val="005A2E92"/>
  </w:style>
  <w:style w:type="paragraph" w:customStyle="1" w:styleId="Footer1">
    <w:name w:val="Footer1"/>
    <w:basedOn w:val="Normal"/>
    <w:next w:val="Footer"/>
    <w:link w:val="FooterChar"/>
    <w:uiPriority w:val="99"/>
    <w:unhideWhenUsed/>
    <w:rsid w:val="005A2E92"/>
    <w:pPr>
      <w:tabs>
        <w:tab w:val="center" w:pos="4680"/>
        <w:tab w:val="right" w:pos="9360"/>
      </w:tabs>
      <w:ind w:left="720" w:hanging="360"/>
      <w:jc w:val="both"/>
    </w:pPr>
  </w:style>
  <w:style w:type="character" w:customStyle="1" w:styleId="FooterChar">
    <w:name w:val="Footer Char"/>
    <w:basedOn w:val="DefaultParagraphFont"/>
    <w:link w:val="Footer1"/>
    <w:uiPriority w:val="99"/>
    <w:rsid w:val="005A2E92"/>
  </w:style>
  <w:style w:type="paragraph" w:styleId="ListParagraph">
    <w:name w:val="List Paragraph"/>
    <w:basedOn w:val="Normal"/>
    <w:uiPriority w:val="34"/>
    <w:qFormat/>
    <w:rsid w:val="005A2E92"/>
    <w:pPr>
      <w:ind w:left="720"/>
      <w:contextualSpacing/>
    </w:pPr>
  </w:style>
  <w:style w:type="paragraph" w:styleId="Header">
    <w:name w:val="header"/>
    <w:basedOn w:val="Normal"/>
    <w:link w:val="HeaderChar1"/>
    <w:uiPriority w:val="99"/>
    <w:unhideWhenUsed/>
    <w:rsid w:val="005A2E92"/>
    <w:pPr>
      <w:tabs>
        <w:tab w:val="center" w:pos="4680"/>
        <w:tab w:val="right" w:pos="9360"/>
      </w:tabs>
    </w:pPr>
  </w:style>
  <w:style w:type="character" w:customStyle="1" w:styleId="HeaderChar1">
    <w:name w:val="Header Char1"/>
    <w:basedOn w:val="DefaultParagraphFont"/>
    <w:link w:val="Header"/>
    <w:uiPriority w:val="99"/>
    <w:rsid w:val="005A2E92"/>
  </w:style>
  <w:style w:type="paragraph" w:styleId="Footer">
    <w:name w:val="footer"/>
    <w:basedOn w:val="Normal"/>
    <w:link w:val="FooterChar1"/>
    <w:uiPriority w:val="99"/>
    <w:unhideWhenUsed/>
    <w:rsid w:val="005A2E92"/>
    <w:pPr>
      <w:tabs>
        <w:tab w:val="center" w:pos="4680"/>
        <w:tab w:val="right" w:pos="9360"/>
      </w:tabs>
    </w:pPr>
  </w:style>
  <w:style w:type="character" w:customStyle="1" w:styleId="FooterChar1">
    <w:name w:val="Footer Char1"/>
    <w:basedOn w:val="DefaultParagraphFont"/>
    <w:link w:val="Footer"/>
    <w:uiPriority w:val="99"/>
    <w:rsid w:val="005A2E92"/>
  </w:style>
  <w:style w:type="table" w:styleId="TableGrid">
    <w:name w:val="Table Grid"/>
    <w:basedOn w:val="TableNormal"/>
    <w:uiPriority w:val="59"/>
    <w:rsid w:val="00D21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A2E92"/>
    <w:pPr>
      <w:tabs>
        <w:tab w:val="center" w:pos="4680"/>
        <w:tab w:val="right" w:pos="9360"/>
      </w:tabs>
      <w:ind w:left="720" w:hanging="360"/>
      <w:jc w:val="both"/>
    </w:pPr>
  </w:style>
  <w:style w:type="character" w:customStyle="1" w:styleId="HeaderChar">
    <w:name w:val="Header Char"/>
    <w:basedOn w:val="DefaultParagraphFont"/>
    <w:link w:val="Header1"/>
    <w:uiPriority w:val="99"/>
    <w:rsid w:val="005A2E92"/>
  </w:style>
  <w:style w:type="paragraph" w:customStyle="1" w:styleId="Footer1">
    <w:name w:val="Footer1"/>
    <w:basedOn w:val="Normal"/>
    <w:next w:val="Footer"/>
    <w:link w:val="FooterChar"/>
    <w:uiPriority w:val="99"/>
    <w:unhideWhenUsed/>
    <w:rsid w:val="005A2E92"/>
    <w:pPr>
      <w:tabs>
        <w:tab w:val="center" w:pos="4680"/>
        <w:tab w:val="right" w:pos="9360"/>
      </w:tabs>
      <w:ind w:left="720" w:hanging="360"/>
      <w:jc w:val="both"/>
    </w:pPr>
  </w:style>
  <w:style w:type="character" w:customStyle="1" w:styleId="FooterChar">
    <w:name w:val="Footer Char"/>
    <w:basedOn w:val="DefaultParagraphFont"/>
    <w:link w:val="Footer1"/>
    <w:uiPriority w:val="99"/>
    <w:rsid w:val="005A2E92"/>
  </w:style>
  <w:style w:type="paragraph" w:styleId="ListParagraph">
    <w:name w:val="List Paragraph"/>
    <w:basedOn w:val="Normal"/>
    <w:uiPriority w:val="34"/>
    <w:qFormat/>
    <w:rsid w:val="005A2E92"/>
    <w:pPr>
      <w:ind w:left="720"/>
      <w:contextualSpacing/>
    </w:pPr>
  </w:style>
  <w:style w:type="paragraph" w:styleId="Header">
    <w:name w:val="header"/>
    <w:basedOn w:val="Normal"/>
    <w:link w:val="HeaderChar1"/>
    <w:uiPriority w:val="99"/>
    <w:unhideWhenUsed/>
    <w:rsid w:val="005A2E92"/>
    <w:pPr>
      <w:tabs>
        <w:tab w:val="center" w:pos="4680"/>
        <w:tab w:val="right" w:pos="9360"/>
      </w:tabs>
    </w:pPr>
  </w:style>
  <w:style w:type="character" w:customStyle="1" w:styleId="HeaderChar1">
    <w:name w:val="Header Char1"/>
    <w:basedOn w:val="DefaultParagraphFont"/>
    <w:link w:val="Header"/>
    <w:uiPriority w:val="99"/>
    <w:rsid w:val="005A2E92"/>
  </w:style>
  <w:style w:type="paragraph" w:styleId="Footer">
    <w:name w:val="footer"/>
    <w:basedOn w:val="Normal"/>
    <w:link w:val="FooterChar1"/>
    <w:uiPriority w:val="99"/>
    <w:unhideWhenUsed/>
    <w:rsid w:val="005A2E92"/>
    <w:pPr>
      <w:tabs>
        <w:tab w:val="center" w:pos="4680"/>
        <w:tab w:val="right" w:pos="9360"/>
      </w:tabs>
    </w:pPr>
  </w:style>
  <w:style w:type="character" w:customStyle="1" w:styleId="FooterChar1">
    <w:name w:val="Footer Char1"/>
    <w:basedOn w:val="DefaultParagraphFont"/>
    <w:link w:val="Footer"/>
    <w:uiPriority w:val="99"/>
    <w:rsid w:val="005A2E92"/>
  </w:style>
  <w:style w:type="table" w:styleId="TableGrid">
    <w:name w:val="Table Grid"/>
    <w:basedOn w:val="TableNormal"/>
    <w:uiPriority w:val="59"/>
    <w:rsid w:val="00D21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2023-10-16T11:15:00Z</dcterms:created>
  <dcterms:modified xsi:type="dcterms:W3CDTF">2023-10-16T11:15:00Z</dcterms:modified>
</cp:coreProperties>
</file>